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6708" w:rsidRDefault="00656708" w:rsidP="00656708">
      <w:pPr>
        <w:ind w:left="1843" w:right="1983"/>
        <w:jc w:val="both"/>
        <w:rPr>
          <w:rFonts w:ascii="Tahoma" w:hAnsi="Tahoma" w:cs="Tahoma"/>
          <w:i/>
          <w:sz w:val="20"/>
          <w:szCs w:val="20"/>
        </w:rPr>
      </w:pPr>
      <w:r w:rsidRPr="0073781C">
        <w:rPr>
          <w:rFonts w:ascii="Tahoma" w:hAnsi="Tahoma" w:cs="Tahoma"/>
          <w:b/>
          <w:i/>
          <w:sz w:val="20"/>
          <w:szCs w:val="20"/>
        </w:rPr>
        <w:t>Sumilla   :</w:t>
      </w:r>
      <w:r w:rsidRPr="0073781C">
        <w:rPr>
          <w:rFonts w:ascii="Tahoma" w:hAnsi="Tahoma" w:cs="Tahoma"/>
          <w:i/>
          <w:sz w:val="20"/>
          <w:szCs w:val="20"/>
        </w:rPr>
        <w:t xml:space="preserve"> </w:t>
      </w:r>
      <w:r w:rsidRPr="0073781C">
        <w:rPr>
          <w:rFonts w:ascii="Tahoma" w:hAnsi="Tahoma" w:cs="Tahoma"/>
          <w:i/>
          <w:sz w:val="20"/>
          <w:szCs w:val="20"/>
        </w:rPr>
        <w:tab/>
      </w:r>
      <w:r w:rsidRPr="00BE2D5E">
        <w:rPr>
          <w:rFonts w:ascii="Tahoma" w:hAnsi="Tahoma" w:cs="Tahoma"/>
          <w:i/>
          <w:sz w:val="20"/>
          <w:szCs w:val="20"/>
        </w:rPr>
        <w:t>“</w:t>
      </w:r>
      <w:r>
        <w:rPr>
          <w:rFonts w:ascii="Tahoma" w:hAnsi="Tahoma" w:cs="Tahoma"/>
          <w:i/>
          <w:sz w:val="20"/>
          <w:szCs w:val="20"/>
        </w:rPr>
        <w:t>Se impondrá</w:t>
      </w:r>
      <w:r w:rsidRPr="00D771FA">
        <w:rPr>
          <w:rFonts w:ascii="Tahoma" w:hAnsi="Tahoma" w:cs="Tahoma"/>
          <w:i/>
          <w:sz w:val="20"/>
          <w:szCs w:val="20"/>
        </w:rPr>
        <w:t xml:space="preserve"> sanción</w:t>
      </w:r>
      <w:r>
        <w:rPr>
          <w:rFonts w:ascii="Tahoma" w:hAnsi="Tahoma" w:cs="Tahoma"/>
          <w:i/>
          <w:sz w:val="20"/>
          <w:szCs w:val="20"/>
        </w:rPr>
        <w:t xml:space="preserve"> administrativa cuando la Entidad resuelve </w:t>
      </w:r>
      <w:r w:rsidRPr="00D771FA">
        <w:rPr>
          <w:rFonts w:ascii="Tahoma" w:hAnsi="Tahoma" w:cs="Tahoma"/>
          <w:i/>
          <w:sz w:val="20"/>
          <w:szCs w:val="20"/>
        </w:rPr>
        <w:t xml:space="preserve">el </w:t>
      </w:r>
      <w:r>
        <w:rPr>
          <w:rFonts w:ascii="Tahoma" w:hAnsi="Tahoma" w:cs="Tahoma"/>
          <w:i/>
          <w:sz w:val="20"/>
          <w:szCs w:val="20"/>
        </w:rPr>
        <w:t xml:space="preserve">contrato por el retraso injustificado de la contratista que llegó a cubrir el monto máximo de la penalidad” </w:t>
      </w:r>
    </w:p>
    <w:p w:rsidR="00656708" w:rsidRDefault="00656708" w:rsidP="00656708">
      <w:pPr>
        <w:pStyle w:val="Textoindependiente3"/>
        <w:spacing w:after="0"/>
        <w:ind w:left="5387"/>
        <w:jc w:val="both"/>
        <w:rPr>
          <w:rFonts w:ascii="Tahoma" w:hAnsi="Tahoma" w:cs="Tahoma"/>
          <w:b/>
          <w:sz w:val="22"/>
          <w:szCs w:val="22"/>
          <w:lang w:val="es-ES"/>
        </w:rPr>
      </w:pPr>
    </w:p>
    <w:p w:rsidR="00656708" w:rsidRPr="00EF6D22" w:rsidRDefault="00656708" w:rsidP="00656708">
      <w:pPr>
        <w:pStyle w:val="Textoindependiente3"/>
        <w:spacing w:after="0"/>
        <w:ind w:left="5387"/>
        <w:jc w:val="both"/>
        <w:rPr>
          <w:rFonts w:ascii="Tahoma" w:hAnsi="Tahoma" w:cs="Tahoma"/>
          <w:b/>
          <w:sz w:val="22"/>
          <w:szCs w:val="22"/>
        </w:rPr>
      </w:pPr>
      <w:r w:rsidRPr="00EF6D22">
        <w:rPr>
          <w:rFonts w:ascii="Tahoma" w:hAnsi="Tahoma" w:cs="Tahoma"/>
          <w:b/>
          <w:sz w:val="22"/>
          <w:szCs w:val="22"/>
        </w:rPr>
        <w:t>Lima,</w:t>
      </w:r>
      <w:r w:rsidR="00DC6E37">
        <w:rPr>
          <w:rFonts w:ascii="Tahoma" w:hAnsi="Tahoma" w:cs="Tahoma"/>
          <w:b/>
          <w:sz w:val="22"/>
          <w:szCs w:val="22"/>
        </w:rPr>
        <w:t xml:space="preserve"> 26 de Agosto de 2011</w:t>
      </w:r>
    </w:p>
    <w:p w:rsidR="00656708" w:rsidRPr="00415B46" w:rsidRDefault="00656708" w:rsidP="00656708">
      <w:pPr>
        <w:pStyle w:val="Textoindependiente3"/>
        <w:spacing w:after="0"/>
        <w:ind w:left="5387"/>
        <w:jc w:val="both"/>
        <w:rPr>
          <w:rFonts w:ascii="Tahoma" w:hAnsi="Tahoma" w:cs="Tahoma"/>
          <w:b/>
          <w:sz w:val="22"/>
          <w:szCs w:val="22"/>
        </w:rPr>
      </w:pPr>
    </w:p>
    <w:p w:rsidR="00656708" w:rsidRPr="00415B46" w:rsidRDefault="00656708" w:rsidP="00656708">
      <w:pPr>
        <w:ind w:firstLine="567"/>
        <w:contextualSpacing/>
        <w:jc w:val="both"/>
        <w:rPr>
          <w:rFonts w:ascii="Tahoma" w:hAnsi="Tahoma" w:cs="Tahoma"/>
          <w:sz w:val="22"/>
          <w:szCs w:val="22"/>
        </w:rPr>
      </w:pPr>
      <w:r w:rsidRPr="00415B46">
        <w:rPr>
          <w:rFonts w:ascii="Tahoma" w:hAnsi="Tahoma" w:cs="Tahoma"/>
          <w:b/>
          <w:sz w:val="22"/>
          <w:szCs w:val="22"/>
        </w:rPr>
        <w:t xml:space="preserve">Visto </w:t>
      </w:r>
      <w:r>
        <w:rPr>
          <w:rFonts w:ascii="Tahoma" w:hAnsi="Tahoma" w:cs="Tahoma"/>
          <w:sz w:val="22"/>
          <w:szCs w:val="22"/>
        </w:rPr>
        <w:t>en sesión de fecha 26</w:t>
      </w:r>
      <w:r w:rsidRPr="00415B46">
        <w:rPr>
          <w:rFonts w:ascii="Tahoma" w:hAnsi="Tahoma" w:cs="Tahoma"/>
          <w:sz w:val="22"/>
          <w:szCs w:val="22"/>
        </w:rPr>
        <w:t xml:space="preserve"> de agosto de 2011 la Primera Sala del Tribunal de Contrataciones del Estado el Expediente N°</w:t>
      </w:r>
      <w:r w:rsidRPr="00415B46">
        <w:rPr>
          <w:rFonts w:ascii="Tahoma" w:hAnsi="Tahoma" w:cs="Tahoma"/>
          <w:b/>
          <w:sz w:val="22"/>
          <w:szCs w:val="22"/>
        </w:rPr>
        <w:t xml:space="preserve"> </w:t>
      </w:r>
      <w:r w:rsidRPr="00415B46">
        <w:rPr>
          <w:rFonts w:ascii="Tahoma" w:hAnsi="Tahoma" w:cs="Tahoma"/>
          <w:sz w:val="22"/>
          <w:szCs w:val="22"/>
        </w:rPr>
        <w:t>360-2011.TC; sobre el procedimiento administrativo sancionador iniciado contra CABRERA CAMPOS CARLOS ENRIQUE,</w:t>
      </w:r>
      <w:r w:rsidRPr="00415B46">
        <w:rPr>
          <w:rFonts w:ascii="Tahoma" w:eastAsia="MS Mincho" w:hAnsi="Tahoma" w:cs="Tahoma"/>
          <w:sz w:val="22"/>
          <w:szCs w:val="22"/>
        </w:rPr>
        <w:t xml:space="preserve"> </w:t>
      </w:r>
      <w:r w:rsidRPr="00415B46">
        <w:rPr>
          <w:rFonts w:ascii="Tahoma" w:hAnsi="Tahoma" w:cs="Tahoma"/>
          <w:sz w:val="22"/>
          <w:szCs w:val="22"/>
        </w:rPr>
        <w:t>por supuesta responsabilidad al</w:t>
      </w:r>
      <w:r w:rsidRPr="00415B46">
        <w:rPr>
          <w:rFonts w:ascii="Tahoma" w:hAnsi="Tahoma" w:cs="Tahoma"/>
          <w:sz w:val="22"/>
          <w:szCs w:val="22"/>
          <w:lang w:eastAsia="es-PE"/>
        </w:rPr>
        <w:t xml:space="preserve"> haber dado lugar a la </w:t>
      </w:r>
      <w:r w:rsidRPr="00415B46">
        <w:rPr>
          <w:rFonts w:ascii="Tahoma" w:hAnsi="Tahoma" w:cs="Tahoma"/>
          <w:sz w:val="22"/>
          <w:szCs w:val="22"/>
        </w:rPr>
        <w:t>resolución del CONTRATO Nº 005-2009-GRCAJ-GGR AMC Nº 003-2009-GRCAJ; derivado de la Adjudicación de Menor Cuantía Nº 003-2009-GR.CAJ.</w:t>
      </w:r>
    </w:p>
    <w:p w:rsidR="00656708" w:rsidRPr="00415B46" w:rsidRDefault="00656708" w:rsidP="00656708">
      <w:pPr>
        <w:ind w:firstLine="567"/>
        <w:contextualSpacing/>
        <w:jc w:val="both"/>
        <w:rPr>
          <w:rFonts w:ascii="Tahoma" w:hAnsi="Tahoma" w:cs="Tahoma"/>
          <w:b/>
          <w:sz w:val="22"/>
          <w:szCs w:val="22"/>
          <w:lang w:val="es-ES_tradnl"/>
        </w:rPr>
      </w:pPr>
    </w:p>
    <w:p w:rsidR="00656708" w:rsidRPr="00415B46" w:rsidRDefault="00656708" w:rsidP="00656708">
      <w:pPr>
        <w:pStyle w:val="Prrafodelista"/>
        <w:ind w:left="567"/>
        <w:rPr>
          <w:rFonts w:ascii="Tahoma" w:hAnsi="Tahoma" w:cs="Tahoma"/>
          <w:b/>
          <w:sz w:val="22"/>
          <w:szCs w:val="22"/>
        </w:rPr>
      </w:pPr>
      <w:r w:rsidRPr="00415B46">
        <w:rPr>
          <w:rFonts w:ascii="Tahoma" w:hAnsi="Tahoma" w:cs="Tahoma"/>
          <w:b/>
          <w:sz w:val="22"/>
          <w:szCs w:val="22"/>
        </w:rPr>
        <w:t>ANTECEDENTES:</w:t>
      </w:r>
    </w:p>
    <w:p w:rsidR="00656708" w:rsidRPr="00415B46" w:rsidRDefault="00656708" w:rsidP="00656708">
      <w:pPr>
        <w:jc w:val="both"/>
        <w:rPr>
          <w:rFonts w:ascii="Tahoma" w:hAnsi="Tahoma" w:cs="Tahoma"/>
          <w:b/>
          <w:sz w:val="22"/>
          <w:szCs w:val="22"/>
          <w:lang w:eastAsia="es-PE"/>
        </w:rPr>
      </w:pPr>
    </w:p>
    <w:p w:rsidR="00656708" w:rsidRPr="004411E7" w:rsidRDefault="00656708" w:rsidP="00656708">
      <w:pPr>
        <w:pStyle w:val="Prrafodelista"/>
        <w:widowControl/>
        <w:numPr>
          <w:ilvl w:val="0"/>
          <w:numId w:val="1"/>
        </w:numPr>
        <w:suppressAutoHyphens w:val="0"/>
        <w:ind w:left="567" w:hanging="567"/>
        <w:contextualSpacing/>
        <w:jc w:val="both"/>
        <w:rPr>
          <w:rFonts w:ascii="Tahoma" w:hAnsi="Tahoma" w:cs="Tahoma"/>
          <w:sz w:val="22"/>
          <w:szCs w:val="22"/>
        </w:rPr>
      </w:pPr>
      <w:r w:rsidRPr="004411E7">
        <w:rPr>
          <w:rFonts w:ascii="Tahoma" w:hAnsi="Tahoma" w:cs="Tahoma"/>
          <w:sz w:val="22"/>
          <w:szCs w:val="22"/>
        </w:rPr>
        <w:t xml:space="preserve">El 27 de abril del 2009, el </w:t>
      </w:r>
      <w:r w:rsidRPr="004411E7">
        <w:rPr>
          <w:rFonts w:ascii="Tahoma" w:hAnsi="Tahoma" w:cs="Tahoma"/>
          <w:sz w:val="22"/>
          <w:szCs w:val="22"/>
          <w:lang w:val="es-PE"/>
        </w:rPr>
        <w:t>GOBIERNO REGIONAL DE CAJAMARCA</w:t>
      </w:r>
      <w:r w:rsidRPr="004411E7">
        <w:rPr>
          <w:rFonts w:ascii="Tahoma" w:hAnsi="Tahoma" w:cs="Tahoma"/>
          <w:sz w:val="22"/>
          <w:szCs w:val="22"/>
        </w:rPr>
        <w:t xml:space="preserve">, en adelante la Entidad, convocó a la Adjudicación de Menor Cuantía Nº 003-2009-GR.CAJ, para la contratación de consultoría de obra para la “Elaboración del expediente técnico definitivo del proyecto: “Construcción Puente Carrozable Ventanillas”, por un valor referencial ascendente a </w:t>
      </w:r>
      <w:r w:rsidRPr="004411E7">
        <w:rPr>
          <w:rFonts w:ascii="Tahoma" w:hAnsi="Tahoma" w:cs="Tahoma"/>
          <w:bCs/>
          <w:color w:val="000000" w:themeColor="text1"/>
          <w:spacing w:val="-2"/>
          <w:sz w:val="22"/>
          <w:szCs w:val="22"/>
          <w:lang w:val="es-PE"/>
        </w:rPr>
        <w:t>S/. 28,000.00 (</w:t>
      </w:r>
      <w:r w:rsidRPr="004411E7">
        <w:rPr>
          <w:rFonts w:ascii="Tahoma" w:hAnsi="Tahoma" w:cs="Tahoma"/>
          <w:sz w:val="22"/>
          <w:szCs w:val="22"/>
        </w:rPr>
        <w:t>Veintiocho mil con 00/100 Nuevos Soles</w:t>
      </w:r>
      <w:r w:rsidRPr="004411E7">
        <w:rPr>
          <w:rFonts w:ascii="Tahoma" w:hAnsi="Tahoma" w:cs="Tahoma"/>
          <w:bCs/>
          <w:color w:val="000000" w:themeColor="text1"/>
          <w:spacing w:val="-2"/>
          <w:sz w:val="22"/>
          <w:szCs w:val="22"/>
          <w:lang w:val="es-PE"/>
        </w:rPr>
        <w:t>)</w:t>
      </w:r>
      <w:r w:rsidRPr="004411E7">
        <w:rPr>
          <w:rFonts w:ascii="Tahoma" w:hAnsi="Tahoma" w:cs="Tahoma"/>
          <w:sz w:val="22"/>
          <w:szCs w:val="22"/>
        </w:rPr>
        <w:t>.</w:t>
      </w:r>
    </w:p>
    <w:p w:rsidR="00656708" w:rsidRPr="004411E7" w:rsidRDefault="00656708" w:rsidP="00656708">
      <w:pPr>
        <w:pStyle w:val="Prrafodelista"/>
        <w:widowControl/>
        <w:suppressAutoHyphens w:val="0"/>
        <w:ind w:left="567"/>
        <w:contextualSpacing/>
        <w:jc w:val="both"/>
        <w:rPr>
          <w:rFonts w:ascii="Tahoma" w:hAnsi="Tahoma" w:cs="Tahoma"/>
          <w:sz w:val="22"/>
          <w:szCs w:val="22"/>
        </w:rPr>
      </w:pPr>
    </w:p>
    <w:p w:rsidR="00656708" w:rsidRPr="004411E7" w:rsidRDefault="00656708" w:rsidP="00656708">
      <w:pPr>
        <w:pStyle w:val="Prrafodelista"/>
        <w:widowControl/>
        <w:numPr>
          <w:ilvl w:val="0"/>
          <w:numId w:val="1"/>
        </w:numPr>
        <w:suppressAutoHyphens w:val="0"/>
        <w:ind w:left="567" w:hanging="567"/>
        <w:contextualSpacing/>
        <w:jc w:val="both"/>
        <w:rPr>
          <w:rFonts w:ascii="Tahoma" w:hAnsi="Tahoma" w:cs="Tahoma"/>
          <w:sz w:val="22"/>
          <w:szCs w:val="22"/>
        </w:rPr>
      </w:pPr>
      <w:r w:rsidRPr="004411E7">
        <w:rPr>
          <w:rFonts w:ascii="Tahoma" w:hAnsi="Tahoma" w:cs="Tahoma"/>
          <w:sz w:val="22"/>
          <w:szCs w:val="22"/>
        </w:rPr>
        <w:t>Con fecha 13 de mayo de 2009, se realizó el acto de otorgamiento de la Buena Pro, la misma que fue adjudicada a favor del CABRERA CAMPOS CARLOS ENRIQUE, en adelante el Contratista.</w:t>
      </w:r>
    </w:p>
    <w:p w:rsidR="00656708" w:rsidRPr="004411E7" w:rsidRDefault="00656708" w:rsidP="00656708">
      <w:pPr>
        <w:pStyle w:val="Prrafodelista"/>
        <w:rPr>
          <w:rFonts w:ascii="Tahoma" w:hAnsi="Tahoma" w:cs="Tahoma"/>
          <w:sz w:val="22"/>
          <w:szCs w:val="22"/>
        </w:rPr>
      </w:pPr>
    </w:p>
    <w:p w:rsidR="00656708" w:rsidRPr="004411E7" w:rsidRDefault="00656708" w:rsidP="00656708">
      <w:pPr>
        <w:pStyle w:val="Prrafodelista"/>
        <w:widowControl/>
        <w:numPr>
          <w:ilvl w:val="0"/>
          <w:numId w:val="1"/>
        </w:numPr>
        <w:suppressAutoHyphens w:val="0"/>
        <w:ind w:left="567" w:hanging="567"/>
        <w:contextualSpacing/>
        <w:jc w:val="both"/>
        <w:rPr>
          <w:rFonts w:ascii="Tahoma" w:hAnsi="Tahoma" w:cs="Tahoma"/>
          <w:sz w:val="22"/>
          <w:szCs w:val="22"/>
        </w:rPr>
      </w:pPr>
      <w:r w:rsidRPr="004411E7">
        <w:rPr>
          <w:rFonts w:ascii="Tahoma" w:hAnsi="Tahoma" w:cs="Tahoma"/>
          <w:sz w:val="22"/>
          <w:szCs w:val="22"/>
        </w:rPr>
        <w:t>El 05 de junio de 2009, la Entidad y la Contratista suscribieron el CONTRATO Nº 005-2009-GRCAJ-GGR AMC Nº 003-2009-GRCAJ.</w:t>
      </w:r>
    </w:p>
    <w:p w:rsidR="00656708" w:rsidRPr="004411E7" w:rsidRDefault="00656708" w:rsidP="00656708">
      <w:pPr>
        <w:pStyle w:val="Prrafodelista"/>
        <w:rPr>
          <w:rFonts w:ascii="Tahoma" w:hAnsi="Tahoma" w:cs="Tahoma"/>
          <w:sz w:val="22"/>
          <w:szCs w:val="22"/>
        </w:rPr>
      </w:pPr>
    </w:p>
    <w:p w:rsidR="00656708" w:rsidRPr="004411E7" w:rsidRDefault="00656708" w:rsidP="00656708">
      <w:pPr>
        <w:pStyle w:val="Prrafodelista"/>
        <w:widowControl/>
        <w:numPr>
          <w:ilvl w:val="0"/>
          <w:numId w:val="1"/>
        </w:numPr>
        <w:suppressAutoHyphens w:val="0"/>
        <w:ind w:left="567" w:hanging="567"/>
        <w:contextualSpacing/>
        <w:jc w:val="both"/>
        <w:rPr>
          <w:rFonts w:ascii="Tahoma" w:hAnsi="Tahoma" w:cs="Tahoma"/>
          <w:sz w:val="22"/>
          <w:szCs w:val="22"/>
        </w:rPr>
      </w:pPr>
      <w:r w:rsidRPr="004411E7">
        <w:rPr>
          <w:rFonts w:ascii="Tahoma" w:hAnsi="Tahoma" w:cs="Tahoma"/>
          <w:sz w:val="22"/>
          <w:szCs w:val="22"/>
        </w:rPr>
        <w:t>Con fecha 22 de junio del 2009, la Entidad y la Contratista suscribieron el Acta de Entrega de Terreno, en el cual se detalló el cronograma de presentación de Informes y del Expediente Técnico, indicándose lo siguiente:</w:t>
      </w:r>
    </w:p>
    <w:p w:rsidR="00656708" w:rsidRPr="004411E7" w:rsidRDefault="00656708" w:rsidP="00656708">
      <w:pPr>
        <w:rPr>
          <w:rFonts w:ascii="Tahoma" w:hAnsi="Tahoma" w:cs="Tahoma"/>
          <w:sz w:val="22"/>
          <w:szCs w:val="22"/>
        </w:rPr>
      </w:pPr>
    </w:p>
    <w:p w:rsidR="00656708" w:rsidRPr="004411E7" w:rsidRDefault="00656708" w:rsidP="00656708">
      <w:pPr>
        <w:pStyle w:val="Prrafodelista"/>
        <w:numPr>
          <w:ilvl w:val="0"/>
          <w:numId w:val="2"/>
        </w:numPr>
        <w:ind w:left="1134" w:right="140"/>
        <w:rPr>
          <w:rFonts w:ascii="Tahoma" w:hAnsi="Tahoma" w:cs="Tahoma"/>
          <w:i/>
          <w:sz w:val="22"/>
          <w:szCs w:val="22"/>
        </w:rPr>
      </w:pPr>
      <w:r w:rsidRPr="004411E7">
        <w:rPr>
          <w:rFonts w:ascii="Tahoma" w:hAnsi="Tahoma" w:cs="Tahoma"/>
          <w:i/>
          <w:sz w:val="22"/>
          <w:szCs w:val="22"/>
        </w:rPr>
        <w:t>Informe Nº 01 – a los 28 Días de la entrega de terreno</w:t>
      </w:r>
      <w:r w:rsidRPr="004411E7">
        <w:rPr>
          <w:rFonts w:ascii="Tahoma" w:hAnsi="Tahoma" w:cs="Tahoma"/>
          <w:i/>
          <w:sz w:val="22"/>
          <w:szCs w:val="22"/>
        </w:rPr>
        <w:tab/>
        <w:t>:</w:t>
      </w:r>
      <w:r w:rsidRPr="004411E7">
        <w:rPr>
          <w:rFonts w:ascii="Tahoma" w:hAnsi="Tahoma" w:cs="Tahoma"/>
          <w:i/>
          <w:sz w:val="22"/>
          <w:szCs w:val="22"/>
        </w:rPr>
        <w:tab/>
        <w:t>20 de JULIO DE 2009</w:t>
      </w:r>
    </w:p>
    <w:p w:rsidR="00656708" w:rsidRPr="004411E7" w:rsidRDefault="00656708" w:rsidP="00656708">
      <w:pPr>
        <w:pStyle w:val="Prrafodelista"/>
        <w:numPr>
          <w:ilvl w:val="0"/>
          <w:numId w:val="2"/>
        </w:numPr>
        <w:ind w:left="1134" w:right="140"/>
        <w:rPr>
          <w:rFonts w:ascii="Tahoma" w:hAnsi="Tahoma" w:cs="Tahoma"/>
          <w:i/>
          <w:sz w:val="22"/>
          <w:szCs w:val="22"/>
        </w:rPr>
      </w:pPr>
      <w:r w:rsidRPr="004411E7">
        <w:rPr>
          <w:rFonts w:ascii="Tahoma" w:hAnsi="Tahoma" w:cs="Tahoma"/>
          <w:i/>
          <w:sz w:val="22"/>
          <w:szCs w:val="22"/>
        </w:rPr>
        <w:t>Informe Nº 02 – a los 50 Días de la entrega de terreno</w:t>
      </w:r>
      <w:r w:rsidRPr="004411E7">
        <w:rPr>
          <w:rFonts w:ascii="Tahoma" w:hAnsi="Tahoma" w:cs="Tahoma"/>
          <w:i/>
          <w:sz w:val="22"/>
          <w:szCs w:val="22"/>
        </w:rPr>
        <w:tab/>
        <w:t>:</w:t>
      </w:r>
      <w:r w:rsidRPr="004411E7">
        <w:rPr>
          <w:rFonts w:ascii="Tahoma" w:hAnsi="Tahoma" w:cs="Tahoma"/>
          <w:i/>
          <w:sz w:val="22"/>
          <w:szCs w:val="22"/>
        </w:rPr>
        <w:tab/>
        <w:t>11 de AGOSTO DE 2009</w:t>
      </w:r>
    </w:p>
    <w:p w:rsidR="00656708" w:rsidRPr="004411E7" w:rsidRDefault="00656708" w:rsidP="00656708">
      <w:pPr>
        <w:pStyle w:val="Prrafodelista"/>
        <w:numPr>
          <w:ilvl w:val="0"/>
          <w:numId w:val="2"/>
        </w:numPr>
        <w:ind w:left="1134" w:right="140"/>
        <w:rPr>
          <w:rFonts w:ascii="Tahoma" w:hAnsi="Tahoma" w:cs="Tahoma"/>
          <w:i/>
          <w:sz w:val="22"/>
          <w:szCs w:val="22"/>
        </w:rPr>
      </w:pPr>
      <w:r w:rsidRPr="004411E7">
        <w:rPr>
          <w:rFonts w:ascii="Tahoma" w:hAnsi="Tahoma" w:cs="Tahoma"/>
          <w:i/>
          <w:sz w:val="22"/>
          <w:szCs w:val="22"/>
        </w:rPr>
        <w:t>Informe Nº 03 FINAL – EXPEDIENTE TECNICO DEFINIT</w:t>
      </w:r>
      <w:r w:rsidRPr="004411E7">
        <w:rPr>
          <w:rFonts w:ascii="Tahoma" w:hAnsi="Tahoma" w:cs="Tahoma"/>
          <w:i/>
          <w:sz w:val="22"/>
          <w:szCs w:val="22"/>
        </w:rPr>
        <w:tab/>
        <w:t>:</w:t>
      </w:r>
      <w:r w:rsidRPr="004411E7">
        <w:rPr>
          <w:rFonts w:ascii="Tahoma" w:hAnsi="Tahoma" w:cs="Tahoma"/>
          <w:i/>
          <w:sz w:val="22"/>
          <w:szCs w:val="22"/>
        </w:rPr>
        <w:tab/>
        <w:t>26 de AGOSTO DE 2009</w:t>
      </w:r>
    </w:p>
    <w:p w:rsidR="00656708" w:rsidRPr="004411E7" w:rsidRDefault="00656708" w:rsidP="00656708">
      <w:pPr>
        <w:contextualSpacing/>
        <w:jc w:val="both"/>
        <w:rPr>
          <w:rFonts w:ascii="Tahoma" w:hAnsi="Tahoma" w:cs="Tahoma"/>
          <w:sz w:val="22"/>
          <w:szCs w:val="22"/>
        </w:rPr>
      </w:pPr>
    </w:p>
    <w:p w:rsidR="00656708" w:rsidRPr="004411E7" w:rsidRDefault="00656708" w:rsidP="00656708">
      <w:pPr>
        <w:pStyle w:val="Prrafodelista"/>
        <w:widowControl/>
        <w:numPr>
          <w:ilvl w:val="0"/>
          <w:numId w:val="1"/>
        </w:numPr>
        <w:suppressAutoHyphens w:val="0"/>
        <w:ind w:left="567" w:hanging="567"/>
        <w:contextualSpacing/>
        <w:jc w:val="both"/>
        <w:rPr>
          <w:rFonts w:ascii="Tahoma" w:hAnsi="Tahoma" w:cs="Tahoma"/>
          <w:sz w:val="22"/>
          <w:szCs w:val="22"/>
        </w:rPr>
      </w:pPr>
      <w:r w:rsidRPr="004411E7">
        <w:rPr>
          <w:rFonts w:ascii="Tahoma" w:hAnsi="Tahoma" w:cs="Tahoma"/>
          <w:sz w:val="22"/>
          <w:szCs w:val="22"/>
        </w:rPr>
        <w:t>Mediante Carta Nº 001-2010/CECC/GRCAJ de fecha 04 de agosto del 2009, el Contratista entregó el Primer Informe Nº 01, sobre la elaboración del Expediente Técnico: Código SNIP: 70880 “CONSTRUCCIÓN PUENTE CARROZABLE VENTANILLAS”.</w:t>
      </w:r>
    </w:p>
    <w:p w:rsidR="00656708" w:rsidRPr="004411E7" w:rsidRDefault="00656708" w:rsidP="00656708">
      <w:pPr>
        <w:pStyle w:val="Prrafodelista"/>
        <w:widowControl/>
        <w:suppressAutoHyphens w:val="0"/>
        <w:ind w:left="567"/>
        <w:contextualSpacing/>
        <w:jc w:val="both"/>
        <w:rPr>
          <w:rFonts w:ascii="Tahoma" w:hAnsi="Tahoma" w:cs="Tahoma"/>
          <w:sz w:val="22"/>
          <w:szCs w:val="22"/>
        </w:rPr>
      </w:pPr>
    </w:p>
    <w:p w:rsidR="00656708" w:rsidRPr="004411E7" w:rsidRDefault="00656708" w:rsidP="00656708">
      <w:pPr>
        <w:pStyle w:val="Prrafodelista"/>
        <w:widowControl/>
        <w:numPr>
          <w:ilvl w:val="0"/>
          <w:numId w:val="1"/>
        </w:numPr>
        <w:suppressAutoHyphens w:val="0"/>
        <w:ind w:left="567" w:hanging="567"/>
        <w:contextualSpacing/>
        <w:jc w:val="both"/>
        <w:rPr>
          <w:rFonts w:ascii="Tahoma" w:hAnsi="Tahoma" w:cs="Tahoma"/>
          <w:sz w:val="22"/>
          <w:szCs w:val="22"/>
        </w:rPr>
      </w:pPr>
      <w:r w:rsidRPr="004411E7">
        <w:rPr>
          <w:rFonts w:ascii="Tahoma" w:hAnsi="Tahoma" w:cs="Tahoma"/>
          <w:sz w:val="22"/>
          <w:szCs w:val="22"/>
        </w:rPr>
        <w:t>A través de la Carta Nº 006-2009-GR-CAJ-GRI/SGE/EVAL/JLZL de fecha 12 de agosto del 2009, la Entidad observó el Primer Informe Nº 01, presentado por el Contratista a través de su Carta Nº 001-2010/CECC/GRCAJ</w:t>
      </w:r>
    </w:p>
    <w:p w:rsidR="00656708" w:rsidRPr="004411E7" w:rsidRDefault="00656708" w:rsidP="00656708">
      <w:pPr>
        <w:pStyle w:val="Prrafodelista"/>
        <w:rPr>
          <w:rFonts w:ascii="Tahoma" w:hAnsi="Tahoma" w:cs="Tahoma"/>
          <w:sz w:val="22"/>
          <w:szCs w:val="22"/>
        </w:rPr>
      </w:pPr>
    </w:p>
    <w:p w:rsidR="00656708" w:rsidRDefault="00656708" w:rsidP="00656708">
      <w:pPr>
        <w:pStyle w:val="Prrafodelista"/>
        <w:widowControl/>
        <w:numPr>
          <w:ilvl w:val="0"/>
          <w:numId w:val="1"/>
        </w:numPr>
        <w:suppressAutoHyphens w:val="0"/>
        <w:ind w:left="567" w:hanging="567"/>
        <w:contextualSpacing/>
        <w:jc w:val="both"/>
        <w:rPr>
          <w:rFonts w:ascii="Tahoma" w:hAnsi="Tahoma" w:cs="Tahoma"/>
          <w:sz w:val="22"/>
          <w:szCs w:val="22"/>
        </w:rPr>
      </w:pPr>
      <w:r w:rsidRPr="004411E7">
        <w:rPr>
          <w:rFonts w:ascii="Tahoma" w:hAnsi="Tahoma" w:cs="Tahoma"/>
          <w:sz w:val="22"/>
          <w:szCs w:val="22"/>
        </w:rPr>
        <w:t>Con Carta Notarial Nº 007-2010-GR.CAJ.GRL.SGE.GGR diligenciada notarialmente el 28 de enero del 2010, la Entidad requirió al Contratista que en el plazo de 05 días calendarios, cumpla con entregar el Expediente Técnico, bajo apercibimiento de proceder a la resolución del contrato.</w:t>
      </w:r>
    </w:p>
    <w:p w:rsidR="00656708" w:rsidRPr="003A4548" w:rsidRDefault="00656708" w:rsidP="00656708">
      <w:pPr>
        <w:contextualSpacing/>
        <w:jc w:val="both"/>
        <w:rPr>
          <w:rFonts w:ascii="Tahoma" w:hAnsi="Tahoma" w:cs="Tahoma"/>
          <w:sz w:val="22"/>
          <w:szCs w:val="22"/>
        </w:rPr>
      </w:pPr>
    </w:p>
    <w:p w:rsidR="00656708" w:rsidRPr="004411E7" w:rsidRDefault="00656708" w:rsidP="00656708">
      <w:pPr>
        <w:pStyle w:val="Prrafodelista"/>
        <w:widowControl/>
        <w:numPr>
          <w:ilvl w:val="0"/>
          <w:numId w:val="1"/>
        </w:numPr>
        <w:suppressAutoHyphens w:val="0"/>
        <w:ind w:left="567" w:hanging="567"/>
        <w:contextualSpacing/>
        <w:jc w:val="both"/>
        <w:rPr>
          <w:rFonts w:ascii="Tahoma" w:hAnsi="Tahoma" w:cs="Tahoma"/>
          <w:sz w:val="22"/>
          <w:szCs w:val="22"/>
        </w:rPr>
      </w:pPr>
      <w:r w:rsidRPr="004411E7">
        <w:rPr>
          <w:rFonts w:ascii="Tahoma" w:hAnsi="Tahoma" w:cs="Tahoma"/>
          <w:sz w:val="22"/>
          <w:szCs w:val="22"/>
        </w:rPr>
        <w:t>A través del Oficio Nº 405-2010-GR.CAJ/GGR-SG de fecha 26 de febrero del 2010, se comunicó a la Contratista la Resolución de Gerencia General Regional Nº 059-2010-GR.CAJ/GGR del 25 de febrero del 2010, mediante la cual se resolvió en forma total el CONTRATO Nº 005-2009-GRCAJ-GGR AMC Nº 003-2009-GRCAJ, por la causal establecida en el numeral 2 del artículo 169 del Decreto Supremo Nº 184-2008-EF y en el penúltimo párrafo de la Cláusula Decimo Tercera del Contrato de dicho contrato, es decir, por haber llegado a acumular el monto máximo de la penalidad por mora en la ejecución de la prestación a su cargo.</w:t>
      </w:r>
    </w:p>
    <w:p w:rsidR="00656708" w:rsidRPr="004411E7" w:rsidRDefault="00656708" w:rsidP="00656708">
      <w:pPr>
        <w:contextualSpacing/>
        <w:jc w:val="both"/>
        <w:rPr>
          <w:rFonts w:ascii="Tahoma" w:hAnsi="Tahoma" w:cs="Tahoma"/>
          <w:sz w:val="22"/>
          <w:szCs w:val="22"/>
        </w:rPr>
      </w:pPr>
    </w:p>
    <w:p w:rsidR="00656708" w:rsidRPr="004411E7" w:rsidRDefault="00656708" w:rsidP="00656708">
      <w:pPr>
        <w:pStyle w:val="Prrafodelista"/>
        <w:widowControl/>
        <w:numPr>
          <w:ilvl w:val="0"/>
          <w:numId w:val="1"/>
        </w:numPr>
        <w:suppressAutoHyphens w:val="0"/>
        <w:ind w:left="567" w:hanging="567"/>
        <w:contextualSpacing/>
        <w:jc w:val="both"/>
        <w:rPr>
          <w:rFonts w:ascii="Tahoma" w:hAnsi="Tahoma" w:cs="Tahoma"/>
          <w:sz w:val="22"/>
          <w:szCs w:val="22"/>
        </w:rPr>
      </w:pPr>
      <w:r w:rsidRPr="004411E7">
        <w:rPr>
          <w:rFonts w:ascii="Tahoma" w:hAnsi="Tahoma" w:cs="Tahoma"/>
          <w:sz w:val="22"/>
          <w:szCs w:val="22"/>
        </w:rPr>
        <w:t>Mediante Oficio Nº 058-2011-GR.CAJ/DRAJ-P presentado el 14 de marzo del 2011, la Entidad comunicó a este Tribunal de Contrataciones del Estado, en adelante el Tribunal, lo hechos antes descritos.</w:t>
      </w:r>
    </w:p>
    <w:p w:rsidR="00656708" w:rsidRPr="004411E7" w:rsidRDefault="00656708" w:rsidP="00656708">
      <w:pPr>
        <w:pStyle w:val="Prrafodelista"/>
        <w:rPr>
          <w:rFonts w:ascii="Tahoma" w:hAnsi="Tahoma" w:cs="Tahoma"/>
          <w:sz w:val="22"/>
          <w:szCs w:val="22"/>
        </w:rPr>
      </w:pPr>
    </w:p>
    <w:p w:rsidR="00656708" w:rsidRPr="004411E7" w:rsidRDefault="00656708" w:rsidP="00656708">
      <w:pPr>
        <w:pStyle w:val="Prrafodelista"/>
        <w:widowControl/>
        <w:numPr>
          <w:ilvl w:val="0"/>
          <w:numId w:val="1"/>
        </w:numPr>
        <w:suppressAutoHyphens w:val="0"/>
        <w:ind w:left="567" w:hanging="567"/>
        <w:contextualSpacing/>
        <w:jc w:val="both"/>
        <w:rPr>
          <w:rFonts w:ascii="Tahoma" w:hAnsi="Tahoma" w:cs="Tahoma"/>
          <w:sz w:val="22"/>
          <w:szCs w:val="22"/>
        </w:rPr>
      </w:pPr>
      <w:r w:rsidRPr="004411E7">
        <w:rPr>
          <w:rFonts w:ascii="Tahoma" w:hAnsi="Tahoma" w:cs="Tahoma"/>
          <w:sz w:val="22"/>
          <w:szCs w:val="22"/>
        </w:rPr>
        <w:t xml:space="preserve">A través del decreto de fecha 17 de marzo del 2011, se inició procedimiento administrativo sancionador contra la Contratista, por supuesta responsabilidad al haber </w:t>
      </w:r>
      <w:r w:rsidRPr="004411E7">
        <w:rPr>
          <w:rFonts w:ascii="Tahoma" w:hAnsi="Tahoma" w:cs="Tahoma"/>
          <w:sz w:val="22"/>
          <w:szCs w:val="22"/>
          <w:lang w:eastAsia="es-PE"/>
        </w:rPr>
        <w:t xml:space="preserve">dado lugar a la </w:t>
      </w:r>
      <w:r w:rsidRPr="004411E7">
        <w:rPr>
          <w:rFonts w:ascii="Tahoma" w:hAnsi="Tahoma" w:cs="Tahoma"/>
          <w:sz w:val="22"/>
          <w:szCs w:val="22"/>
        </w:rPr>
        <w:t>resolución del CONTRATO Nº 005-2009-GRCAJ-GGR AMC Nº 003-2009-GRCAJ; derivado de la Adjudicación de Menor Cuantía Nº 003-2009-GR.CAJ, infracción prevista en el literal b) del numeral 51.1 del artículo 51 de la Ley de Contrataciones del Estado. Asimismo, se solicitó a la Contratista que en el plazo de diez (10) días hábiles, cumpla con presentar sus descargos.</w:t>
      </w:r>
    </w:p>
    <w:p w:rsidR="00656708" w:rsidRPr="004411E7" w:rsidRDefault="00656708" w:rsidP="00656708">
      <w:pPr>
        <w:pStyle w:val="Prrafodelista"/>
        <w:rPr>
          <w:rFonts w:ascii="Tahoma" w:hAnsi="Tahoma" w:cs="Tahoma"/>
          <w:sz w:val="22"/>
          <w:szCs w:val="22"/>
        </w:rPr>
      </w:pPr>
    </w:p>
    <w:p w:rsidR="00656708" w:rsidRPr="004411E7" w:rsidRDefault="00656708" w:rsidP="00656708">
      <w:pPr>
        <w:pStyle w:val="Prrafodelista"/>
        <w:widowControl/>
        <w:numPr>
          <w:ilvl w:val="0"/>
          <w:numId w:val="1"/>
        </w:numPr>
        <w:suppressAutoHyphens w:val="0"/>
        <w:ind w:left="567" w:hanging="567"/>
        <w:contextualSpacing/>
        <w:jc w:val="both"/>
        <w:rPr>
          <w:rFonts w:ascii="Tahoma" w:hAnsi="Tahoma" w:cs="Tahoma"/>
          <w:sz w:val="22"/>
          <w:szCs w:val="22"/>
        </w:rPr>
      </w:pPr>
      <w:r w:rsidRPr="004411E7">
        <w:rPr>
          <w:rFonts w:ascii="Tahoma" w:hAnsi="Tahoma" w:cs="Tahoma"/>
          <w:sz w:val="22"/>
          <w:szCs w:val="22"/>
        </w:rPr>
        <w:t>Con escritos presentados el 13 y 14 de abril del 2011, ante la Oficina Desconcentrada de OSCE, ubicada en la ciudad de Cajamarca, y remitidos a Mesa de Partes del Tribunal el 19 de abril del 2011, la Contratista presentó sus descargos, bajo los siguientes argumentos:</w:t>
      </w:r>
    </w:p>
    <w:p w:rsidR="00656708" w:rsidRPr="004411E7" w:rsidRDefault="00656708" w:rsidP="00656708">
      <w:pPr>
        <w:pStyle w:val="Prrafodelista"/>
        <w:rPr>
          <w:rFonts w:ascii="Tahoma" w:hAnsi="Tahoma" w:cs="Tahoma"/>
          <w:sz w:val="22"/>
          <w:szCs w:val="22"/>
        </w:rPr>
      </w:pPr>
    </w:p>
    <w:p w:rsidR="00656708" w:rsidRPr="004411E7" w:rsidRDefault="00656708" w:rsidP="00656708">
      <w:pPr>
        <w:pStyle w:val="Prrafodelista"/>
        <w:widowControl/>
        <w:numPr>
          <w:ilvl w:val="0"/>
          <w:numId w:val="3"/>
        </w:numPr>
        <w:suppressAutoHyphens w:val="0"/>
        <w:ind w:left="1134" w:hanging="567"/>
        <w:contextualSpacing/>
        <w:jc w:val="both"/>
        <w:rPr>
          <w:rFonts w:ascii="Tahoma" w:hAnsi="Tahoma" w:cs="Tahoma"/>
          <w:sz w:val="22"/>
          <w:szCs w:val="22"/>
        </w:rPr>
      </w:pPr>
      <w:r w:rsidRPr="004411E7">
        <w:rPr>
          <w:rFonts w:ascii="Tahoma" w:hAnsi="Tahoma" w:cs="Tahoma"/>
          <w:sz w:val="22"/>
          <w:szCs w:val="22"/>
        </w:rPr>
        <w:t>Que habiéndose suscrito el contrato, ha existido desde el inicio un incumplimiento por parte de la Entidad, toda vez que la suscripción del contrato se realizó el 05 de junio del 2009, por lo cual, en virtud de la cláusula quinta, el terreno se debía entregar dentro de los diez (10) días hábiles de la firma del contrato, es decir desde el 15 de junio del 2009, sin embargo, el terreno se entregó el día 22 de junio del 2009.</w:t>
      </w:r>
    </w:p>
    <w:p w:rsidR="00656708" w:rsidRPr="004411E7" w:rsidRDefault="00656708" w:rsidP="00656708">
      <w:pPr>
        <w:pStyle w:val="Prrafodelista"/>
        <w:widowControl/>
        <w:suppressAutoHyphens w:val="0"/>
        <w:ind w:left="1134" w:hanging="567"/>
        <w:contextualSpacing/>
        <w:jc w:val="both"/>
        <w:rPr>
          <w:rFonts w:ascii="Tahoma" w:hAnsi="Tahoma" w:cs="Tahoma"/>
          <w:sz w:val="22"/>
          <w:szCs w:val="22"/>
        </w:rPr>
      </w:pPr>
    </w:p>
    <w:p w:rsidR="00656708" w:rsidRPr="004411E7" w:rsidRDefault="00656708" w:rsidP="00656708">
      <w:pPr>
        <w:pStyle w:val="Prrafodelista"/>
        <w:widowControl/>
        <w:numPr>
          <w:ilvl w:val="0"/>
          <w:numId w:val="3"/>
        </w:numPr>
        <w:suppressAutoHyphens w:val="0"/>
        <w:ind w:left="1134" w:hanging="567"/>
        <w:contextualSpacing/>
        <w:jc w:val="both"/>
        <w:rPr>
          <w:rFonts w:ascii="Tahoma" w:hAnsi="Tahoma" w:cs="Tahoma"/>
          <w:sz w:val="22"/>
          <w:szCs w:val="22"/>
        </w:rPr>
      </w:pPr>
      <w:r w:rsidRPr="004411E7">
        <w:rPr>
          <w:rFonts w:ascii="Tahoma" w:hAnsi="Tahoma" w:cs="Tahoma"/>
          <w:sz w:val="22"/>
          <w:szCs w:val="22"/>
        </w:rPr>
        <w:lastRenderedPageBreak/>
        <w:t>Cuando la Entidad, mediante Carta Nº 006-2009-GR-CAJ-GRI/SGE/EVAL/JLZL hace llegar las observaciones de la Carta Nº 001-CECC/GRCAJ, a través del cual se presentó el primer informe, cumplió con levantar dichas observaciones, a través de la Carta Nº 002-CECC/GRCAJ, entregándose para ese fin, ciento dieciocho (118) folio, once (11) planos y un (01) CD.</w:t>
      </w:r>
    </w:p>
    <w:p w:rsidR="00656708" w:rsidRPr="004411E7" w:rsidRDefault="00656708" w:rsidP="00656708">
      <w:pPr>
        <w:pStyle w:val="Prrafodelista"/>
        <w:widowControl/>
        <w:suppressAutoHyphens w:val="0"/>
        <w:ind w:left="1134" w:hanging="567"/>
        <w:contextualSpacing/>
        <w:jc w:val="both"/>
        <w:rPr>
          <w:rFonts w:ascii="Tahoma" w:hAnsi="Tahoma" w:cs="Tahoma"/>
          <w:sz w:val="22"/>
          <w:szCs w:val="22"/>
        </w:rPr>
      </w:pPr>
    </w:p>
    <w:p w:rsidR="00656708" w:rsidRPr="004411E7" w:rsidRDefault="00656708" w:rsidP="00656708">
      <w:pPr>
        <w:pStyle w:val="Prrafodelista"/>
        <w:widowControl/>
        <w:numPr>
          <w:ilvl w:val="0"/>
          <w:numId w:val="3"/>
        </w:numPr>
        <w:suppressAutoHyphens w:val="0"/>
        <w:ind w:left="1134" w:hanging="567"/>
        <w:contextualSpacing/>
        <w:jc w:val="both"/>
        <w:rPr>
          <w:rFonts w:ascii="Tahoma" w:hAnsi="Tahoma" w:cs="Tahoma"/>
          <w:sz w:val="22"/>
          <w:szCs w:val="22"/>
        </w:rPr>
      </w:pPr>
      <w:r w:rsidRPr="004411E7">
        <w:rPr>
          <w:rFonts w:ascii="Tahoma" w:hAnsi="Tahoma" w:cs="Tahoma"/>
          <w:sz w:val="22"/>
          <w:szCs w:val="22"/>
        </w:rPr>
        <w:t>Asimismo, mediante Carta Nº 003-CECC/GRCAJ de fecha 23 de noviembre del 2009, se presentó a la Entidad, el metrado y planos de metrados de la superestructura del expediente técnico, con Carta Nº 004-CECC/GRCAJ de fecha 25 de noviembre del 2009, se presentó a la Entidad el cálculo, metrados y planos de la subestructura del Puente, en el cual según los términos de referencia se cumplió con la entrega del expediente técnico.</w:t>
      </w:r>
    </w:p>
    <w:p w:rsidR="00656708" w:rsidRPr="004411E7" w:rsidRDefault="00656708" w:rsidP="00656708">
      <w:pPr>
        <w:pStyle w:val="Prrafodelista"/>
        <w:widowControl/>
        <w:suppressAutoHyphens w:val="0"/>
        <w:ind w:left="1134" w:hanging="567"/>
        <w:contextualSpacing/>
        <w:jc w:val="both"/>
        <w:rPr>
          <w:rFonts w:ascii="Tahoma" w:hAnsi="Tahoma" w:cs="Tahoma"/>
          <w:sz w:val="22"/>
          <w:szCs w:val="22"/>
        </w:rPr>
      </w:pPr>
    </w:p>
    <w:p w:rsidR="00656708" w:rsidRPr="004411E7" w:rsidRDefault="00656708" w:rsidP="00656708">
      <w:pPr>
        <w:pStyle w:val="Prrafodelista"/>
        <w:widowControl/>
        <w:numPr>
          <w:ilvl w:val="0"/>
          <w:numId w:val="3"/>
        </w:numPr>
        <w:suppressAutoHyphens w:val="0"/>
        <w:ind w:left="1134" w:hanging="567"/>
        <w:contextualSpacing/>
        <w:jc w:val="both"/>
        <w:rPr>
          <w:rFonts w:ascii="Tahoma" w:hAnsi="Tahoma" w:cs="Tahoma"/>
          <w:sz w:val="22"/>
          <w:szCs w:val="22"/>
        </w:rPr>
      </w:pPr>
      <w:r w:rsidRPr="004411E7">
        <w:rPr>
          <w:rFonts w:ascii="Tahoma" w:hAnsi="Tahoma" w:cs="Tahoma"/>
          <w:sz w:val="22"/>
          <w:szCs w:val="22"/>
        </w:rPr>
        <w:t>Con fecha 26 de noviembre del 2009, se presentó a la Entidad la Carta Nº 005-CECC/GRACAJ donde se solicitó una prórroga del plazo, toda vez que existían obras complementarias no previstas en el perfil de pre inversión que se estaba definiendo e incluyendo en el Expediente Técnico, las mismas que no había sido contratadas.</w:t>
      </w:r>
    </w:p>
    <w:p w:rsidR="00656708" w:rsidRPr="004411E7" w:rsidRDefault="00656708" w:rsidP="00656708">
      <w:pPr>
        <w:contextualSpacing/>
        <w:jc w:val="both"/>
        <w:rPr>
          <w:rFonts w:ascii="Tahoma" w:hAnsi="Tahoma" w:cs="Tahoma"/>
          <w:sz w:val="22"/>
          <w:szCs w:val="22"/>
        </w:rPr>
      </w:pPr>
    </w:p>
    <w:p w:rsidR="00656708" w:rsidRPr="004411E7" w:rsidRDefault="00656708" w:rsidP="00656708">
      <w:pPr>
        <w:pStyle w:val="Prrafodelista"/>
        <w:widowControl/>
        <w:numPr>
          <w:ilvl w:val="0"/>
          <w:numId w:val="3"/>
        </w:numPr>
        <w:suppressAutoHyphens w:val="0"/>
        <w:ind w:left="1134" w:hanging="567"/>
        <w:contextualSpacing/>
        <w:jc w:val="both"/>
        <w:rPr>
          <w:rFonts w:ascii="Tahoma" w:hAnsi="Tahoma" w:cs="Tahoma"/>
          <w:sz w:val="22"/>
          <w:szCs w:val="22"/>
        </w:rPr>
      </w:pPr>
      <w:r w:rsidRPr="004411E7">
        <w:rPr>
          <w:rFonts w:ascii="Tahoma" w:hAnsi="Tahoma" w:cs="Tahoma"/>
          <w:sz w:val="22"/>
          <w:szCs w:val="22"/>
        </w:rPr>
        <w:t>El 07 de diciembre del 2009, se presentó a la Entidad la Carta Nº 006-CECC/GRACAJ, donde se entregó el expediente técnico terminado en físico y digital, con las correcciones realizadas por indicaciones del Evaluador.</w:t>
      </w:r>
    </w:p>
    <w:p w:rsidR="00656708" w:rsidRPr="004411E7" w:rsidRDefault="00656708" w:rsidP="00656708">
      <w:pPr>
        <w:pStyle w:val="Prrafodelista"/>
        <w:widowControl/>
        <w:suppressAutoHyphens w:val="0"/>
        <w:ind w:left="1134" w:hanging="567"/>
        <w:contextualSpacing/>
        <w:jc w:val="both"/>
        <w:rPr>
          <w:rFonts w:ascii="Tahoma" w:hAnsi="Tahoma" w:cs="Tahoma"/>
          <w:sz w:val="22"/>
          <w:szCs w:val="22"/>
        </w:rPr>
      </w:pPr>
    </w:p>
    <w:p w:rsidR="00656708" w:rsidRPr="004411E7" w:rsidRDefault="00656708" w:rsidP="00656708">
      <w:pPr>
        <w:pStyle w:val="Prrafodelista"/>
        <w:widowControl/>
        <w:numPr>
          <w:ilvl w:val="0"/>
          <w:numId w:val="3"/>
        </w:numPr>
        <w:suppressAutoHyphens w:val="0"/>
        <w:ind w:left="1134" w:hanging="567"/>
        <w:contextualSpacing/>
        <w:jc w:val="both"/>
        <w:rPr>
          <w:rFonts w:ascii="Tahoma" w:hAnsi="Tahoma" w:cs="Tahoma"/>
          <w:sz w:val="22"/>
          <w:szCs w:val="22"/>
        </w:rPr>
      </w:pPr>
      <w:r w:rsidRPr="004411E7">
        <w:rPr>
          <w:rFonts w:ascii="Tahoma" w:hAnsi="Tahoma" w:cs="Tahoma"/>
          <w:sz w:val="22"/>
          <w:szCs w:val="22"/>
        </w:rPr>
        <w:t>Por otra parte, señaló que han existido irregularidades en el acto administrativo que resolvió el contrato por la supuesta causal de haber acumulado el máximo de la penalidad por mora en la ejecución de la prestación, toda vez que si se le requirió por el incumplimiento injustificado de obligaciones contractuales, el procedimiento para la resolución del contrato debía haber sido otro; por lo cual, en dicha carta de requerimiento, se debió haber precisado las obligaciones esenciales a cumplirse, las mismas que ya había sido cumplidas y entregadas mediante las Cartas antes señaladas.</w:t>
      </w:r>
    </w:p>
    <w:p w:rsidR="00656708" w:rsidRPr="004411E7" w:rsidRDefault="00656708" w:rsidP="00656708">
      <w:pPr>
        <w:pStyle w:val="Prrafodelista"/>
        <w:widowControl/>
        <w:suppressAutoHyphens w:val="0"/>
        <w:ind w:left="1134" w:hanging="567"/>
        <w:contextualSpacing/>
        <w:jc w:val="both"/>
        <w:rPr>
          <w:rFonts w:ascii="Tahoma" w:hAnsi="Tahoma" w:cs="Tahoma"/>
          <w:sz w:val="22"/>
          <w:szCs w:val="22"/>
        </w:rPr>
      </w:pPr>
    </w:p>
    <w:p w:rsidR="00656708" w:rsidRPr="004411E7" w:rsidRDefault="00656708" w:rsidP="00656708">
      <w:pPr>
        <w:pStyle w:val="Prrafodelista"/>
        <w:widowControl/>
        <w:numPr>
          <w:ilvl w:val="0"/>
          <w:numId w:val="3"/>
        </w:numPr>
        <w:suppressAutoHyphens w:val="0"/>
        <w:ind w:left="1134" w:hanging="567"/>
        <w:contextualSpacing/>
        <w:jc w:val="both"/>
        <w:rPr>
          <w:rFonts w:ascii="Tahoma" w:hAnsi="Tahoma" w:cs="Tahoma"/>
          <w:sz w:val="22"/>
          <w:szCs w:val="22"/>
        </w:rPr>
      </w:pPr>
      <w:r w:rsidRPr="004411E7">
        <w:rPr>
          <w:rFonts w:ascii="Tahoma" w:hAnsi="Tahoma" w:cs="Tahoma"/>
          <w:sz w:val="22"/>
          <w:szCs w:val="22"/>
        </w:rPr>
        <w:t xml:space="preserve">En el supuesto negado, si la resolución del contrato se dio por la acumulación del monto máximo de penalidad, resulta razonable y necesario que a efecto de la aplicación de las penalidades, la Entidad ha debido comunicar dicha acumulación, por el contrario, se presentaba todos los avances de obligaciones contractuales, los cuales en ningún momento se devolvió, considerándose por presentada y aprobada. </w:t>
      </w:r>
    </w:p>
    <w:p w:rsidR="00656708" w:rsidRPr="004411E7" w:rsidRDefault="00656708" w:rsidP="00656708">
      <w:pPr>
        <w:pStyle w:val="Prrafodelista"/>
        <w:widowControl/>
        <w:suppressAutoHyphens w:val="0"/>
        <w:ind w:left="1134" w:hanging="567"/>
        <w:contextualSpacing/>
        <w:jc w:val="both"/>
        <w:rPr>
          <w:rFonts w:ascii="Tahoma" w:hAnsi="Tahoma" w:cs="Tahoma"/>
          <w:sz w:val="22"/>
          <w:szCs w:val="22"/>
        </w:rPr>
      </w:pPr>
    </w:p>
    <w:p w:rsidR="00656708" w:rsidRPr="004411E7" w:rsidRDefault="00656708" w:rsidP="00656708">
      <w:pPr>
        <w:pStyle w:val="Prrafodelista"/>
        <w:widowControl/>
        <w:numPr>
          <w:ilvl w:val="0"/>
          <w:numId w:val="3"/>
        </w:numPr>
        <w:suppressAutoHyphens w:val="0"/>
        <w:ind w:left="1134" w:hanging="567"/>
        <w:contextualSpacing/>
        <w:jc w:val="both"/>
        <w:rPr>
          <w:rFonts w:ascii="Tahoma" w:hAnsi="Tahoma" w:cs="Tahoma"/>
          <w:sz w:val="22"/>
          <w:szCs w:val="22"/>
        </w:rPr>
      </w:pPr>
      <w:r w:rsidRPr="004411E7">
        <w:rPr>
          <w:rFonts w:ascii="Tahoma" w:hAnsi="Tahoma" w:cs="Tahoma"/>
          <w:sz w:val="22"/>
          <w:szCs w:val="22"/>
        </w:rPr>
        <w:t xml:space="preserve">Lo señalado anteriormente, se acredita si se tiene en cuenta que en el numeral 10.10 de las Bases del proceso de selección se establece que no se aceptará que el consultor presente un informe subsiguiente, sin antes haber presentado el anterior, los mismos que para considerarse como </w:t>
      </w:r>
      <w:r w:rsidRPr="004411E7">
        <w:rPr>
          <w:rFonts w:ascii="Tahoma" w:hAnsi="Tahoma" w:cs="Tahoma"/>
          <w:sz w:val="22"/>
          <w:szCs w:val="22"/>
        </w:rPr>
        <w:lastRenderedPageBreak/>
        <w:t>presentado, debían incluir todos los contenidos que se indican en los términos de referencia, por lo cual, si los informes se presentan incompletos, el evaluador lo devolverá considerándolo como no presentado, no obstante ello, el evaluador sólo devolvió el Informe Nº 01, siendo el caso que ninguno de los otros informes fueron devueltos, por lo cual, se dieron por presentados y aprobados, coligiéndose de ello, que con fecha 25 de noviembre del 2009, mediante Carta Nº 004-CECC/GRCAJ, se cumplió con los términos de referencia del contrato y por ende se completó la entrega del expediente técnico.</w:t>
      </w:r>
    </w:p>
    <w:p w:rsidR="00656708" w:rsidRPr="004411E7" w:rsidRDefault="00656708" w:rsidP="00656708">
      <w:pPr>
        <w:pStyle w:val="Prrafodelista"/>
        <w:widowControl/>
        <w:suppressAutoHyphens w:val="0"/>
        <w:ind w:left="1134" w:hanging="567"/>
        <w:contextualSpacing/>
        <w:jc w:val="both"/>
        <w:rPr>
          <w:rFonts w:ascii="Tahoma" w:hAnsi="Tahoma" w:cs="Tahoma"/>
          <w:sz w:val="22"/>
          <w:szCs w:val="22"/>
        </w:rPr>
      </w:pPr>
    </w:p>
    <w:p w:rsidR="00656708" w:rsidRPr="004411E7" w:rsidRDefault="00656708" w:rsidP="00656708">
      <w:pPr>
        <w:pStyle w:val="Prrafodelista"/>
        <w:widowControl/>
        <w:numPr>
          <w:ilvl w:val="0"/>
          <w:numId w:val="3"/>
        </w:numPr>
        <w:suppressAutoHyphens w:val="0"/>
        <w:ind w:left="1134" w:hanging="567"/>
        <w:contextualSpacing/>
        <w:jc w:val="both"/>
        <w:rPr>
          <w:rFonts w:ascii="Tahoma" w:hAnsi="Tahoma" w:cs="Tahoma"/>
          <w:sz w:val="22"/>
          <w:szCs w:val="22"/>
        </w:rPr>
      </w:pPr>
      <w:r w:rsidRPr="004411E7">
        <w:rPr>
          <w:rFonts w:ascii="Tahoma" w:hAnsi="Tahoma" w:cs="Tahoma"/>
          <w:sz w:val="22"/>
          <w:szCs w:val="22"/>
        </w:rPr>
        <w:t>Asimismo, el acto administrativo que resolvió el contrato, ha sido suscrito por encargo, dado que se antepuesto en la rúbrica por, entonces no se podría saber si la encargatura tenía expresamente la delegación de facultades de resolución de contrato, debiéndose considerar que el acto resolutivo debió haber sido expedido por el Titular de la Entidad, es decir la más alta autoridad, y no por el Gerente General Regional.</w:t>
      </w:r>
    </w:p>
    <w:p w:rsidR="00656708" w:rsidRPr="004411E7" w:rsidRDefault="00656708" w:rsidP="00656708">
      <w:pPr>
        <w:pStyle w:val="Prrafodelista"/>
        <w:widowControl/>
        <w:suppressAutoHyphens w:val="0"/>
        <w:ind w:left="1134" w:hanging="567"/>
        <w:contextualSpacing/>
        <w:jc w:val="both"/>
        <w:rPr>
          <w:rFonts w:ascii="Tahoma" w:hAnsi="Tahoma" w:cs="Tahoma"/>
          <w:sz w:val="22"/>
          <w:szCs w:val="22"/>
        </w:rPr>
      </w:pPr>
    </w:p>
    <w:p w:rsidR="00656708" w:rsidRPr="004411E7" w:rsidRDefault="00656708" w:rsidP="00656708">
      <w:pPr>
        <w:pStyle w:val="Prrafodelista"/>
        <w:widowControl/>
        <w:numPr>
          <w:ilvl w:val="0"/>
          <w:numId w:val="3"/>
        </w:numPr>
        <w:suppressAutoHyphens w:val="0"/>
        <w:ind w:left="1134" w:hanging="567"/>
        <w:contextualSpacing/>
        <w:jc w:val="both"/>
        <w:rPr>
          <w:rFonts w:ascii="Tahoma" w:hAnsi="Tahoma" w:cs="Tahoma"/>
          <w:sz w:val="22"/>
          <w:szCs w:val="22"/>
        </w:rPr>
      </w:pPr>
      <w:r w:rsidRPr="004411E7">
        <w:rPr>
          <w:rFonts w:ascii="Tahoma" w:hAnsi="Tahoma" w:cs="Tahoma"/>
          <w:sz w:val="22"/>
          <w:szCs w:val="22"/>
        </w:rPr>
        <w:t>Así también, no es cierto lo señalado por la Entidad, respecto a que no se ha iniciado proceso conciliatorio ni arbitral, toda vez que con Carta Nº 001-2010/CECC se solicitó al Gerente General Regional del Gobierno Regional de Cajamarca la conciliación y dejar sin efecto la resolución del contrato, el mismo que se formalizó en el Centro de Negociación Conciliación y Arbitraje de Cajamarca, no obstante ello, no se llevó a cabo la audiencia de conciliación, por la inasistencia de los representantes de la Entidad.</w:t>
      </w:r>
    </w:p>
    <w:p w:rsidR="00656708" w:rsidRPr="004411E7" w:rsidRDefault="00656708" w:rsidP="00656708">
      <w:pPr>
        <w:pStyle w:val="Prrafodelista"/>
        <w:widowControl/>
        <w:suppressAutoHyphens w:val="0"/>
        <w:ind w:left="1134" w:hanging="567"/>
        <w:contextualSpacing/>
        <w:jc w:val="both"/>
        <w:rPr>
          <w:rFonts w:ascii="Tahoma" w:hAnsi="Tahoma" w:cs="Tahoma"/>
          <w:sz w:val="22"/>
          <w:szCs w:val="22"/>
        </w:rPr>
      </w:pPr>
    </w:p>
    <w:p w:rsidR="00656708" w:rsidRPr="004411E7" w:rsidRDefault="00656708" w:rsidP="00656708">
      <w:pPr>
        <w:pStyle w:val="Prrafodelista"/>
        <w:widowControl/>
        <w:numPr>
          <w:ilvl w:val="0"/>
          <w:numId w:val="3"/>
        </w:numPr>
        <w:suppressAutoHyphens w:val="0"/>
        <w:ind w:left="1134" w:hanging="567"/>
        <w:contextualSpacing/>
        <w:jc w:val="both"/>
        <w:rPr>
          <w:rFonts w:ascii="Tahoma" w:hAnsi="Tahoma" w:cs="Tahoma"/>
          <w:sz w:val="22"/>
          <w:szCs w:val="22"/>
        </w:rPr>
      </w:pPr>
      <w:r w:rsidRPr="004411E7">
        <w:rPr>
          <w:rFonts w:ascii="Tahoma" w:hAnsi="Tahoma" w:cs="Tahoma"/>
          <w:sz w:val="22"/>
          <w:szCs w:val="22"/>
        </w:rPr>
        <w:t>Finalmente, señaló que el expediente técnico fue presentado y prueba de ello, es que el dicho expediente ha sido utilizado para elaborar otro por encargo del Gobierno Regional de Cajamarca a otro consultor, sin tomar en cuenta los derechos de autor.</w:t>
      </w:r>
    </w:p>
    <w:p w:rsidR="00656708" w:rsidRPr="004411E7" w:rsidRDefault="00656708" w:rsidP="00656708">
      <w:pPr>
        <w:pStyle w:val="Prrafodelista"/>
        <w:widowControl/>
        <w:suppressAutoHyphens w:val="0"/>
        <w:ind w:left="567"/>
        <w:contextualSpacing/>
        <w:jc w:val="both"/>
        <w:rPr>
          <w:rFonts w:ascii="Tahoma" w:hAnsi="Tahoma" w:cs="Tahoma"/>
          <w:sz w:val="22"/>
          <w:szCs w:val="22"/>
        </w:rPr>
      </w:pPr>
    </w:p>
    <w:p w:rsidR="00656708" w:rsidRPr="004411E7" w:rsidRDefault="00656708" w:rsidP="00656708">
      <w:pPr>
        <w:pStyle w:val="Prrafodelista"/>
        <w:widowControl/>
        <w:numPr>
          <w:ilvl w:val="0"/>
          <w:numId w:val="1"/>
        </w:numPr>
        <w:suppressAutoHyphens w:val="0"/>
        <w:ind w:left="567" w:hanging="567"/>
        <w:contextualSpacing/>
        <w:jc w:val="both"/>
        <w:rPr>
          <w:rFonts w:ascii="Tahoma" w:hAnsi="Tahoma" w:cs="Tahoma"/>
          <w:sz w:val="22"/>
          <w:szCs w:val="22"/>
        </w:rPr>
      </w:pPr>
      <w:r w:rsidRPr="004411E7">
        <w:rPr>
          <w:rFonts w:ascii="Tahoma" w:hAnsi="Tahoma" w:cs="Tahoma"/>
          <w:sz w:val="22"/>
          <w:szCs w:val="22"/>
        </w:rPr>
        <w:t>Mediante decreto de fecha 26 de abril del 2011, se tuvo por apersonado a la Contratista, por presentados sus descargos y se remitió el presente expediente a la Primera Sala del Tribunal para que resuelva.</w:t>
      </w:r>
    </w:p>
    <w:p w:rsidR="00656708" w:rsidRPr="004411E7" w:rsidRDefault="00656708" w:rsidP="00656708">
      <w:pPr>
        <w:pStyle w:val="Prrafodelista"/>
        <w:widowControl/>
        <w:suppressAutoHyphens w:val="0"/>
        <w:ind w:left="567"/>
        <w:contextualSpacing/>
        <w:jc w:val="both"/>
        <w:rPr>
          <w:rFonts w:ascii="Tahoma" w:hAnsi="Tahoma" w:cs="Tahoma"/>
          <w:sz w:val="22"/>
          <w:szCs w:val="22"/>
        </w:rPr>
      </w:pPr>
    </w:p>
    <w:p w:rsidR="00656708" w:rsidRPr="004411E7" w:rsidRDefault="00656708" w:rsidP="00656708">
      <w:pPr>
        <w:pStyle w:val="Prrafodelista"/>
        <w:widowControl/>
        <w:numPr>
          <w:ilvl w:val="0"/>
          <w:numId w:val="1"/>
        </w:numPr>
        <w:suppressAutoHyphens w:val="0"/>
        <w:ind w:left="567" w:hanging="567"/>
        <w:contextualSpacing/>
        <w:jc w:val="both"/>
        <w:rPr>
          <w:rFonts w:ascii="Tahoma" w:hAnsi="Tahoma" w:cs="Tahoma"/>
          <w:sz w:val="22"/>
          <w:szCs w:val="22"/>
        </w:rPr>
      </w:pPr>
      <w:r w:rsidRPr="004411E7">
        <w:rPr>
          <w:rFonts w:ascii="Tahoma" w:hAnsi="Tahoma" w:cs="Tahoma"/>
          <w:sz w:val="22"/>
          <w:szCs w:val="22"/>
        </w:rPr>
        <w:t>Con decreto de fecha 27 de junio del 2011, se requirió información adicional a la Entidad, bajo el siguiente detalle:</w:t>
      </w:r>
    </w:p>
    <w:p w:rsidR="00656708" w:rsidRPr="00112D59" w:rsidRDefault="00656708" w:rsidP="00656708">
      <w:pPr>
        <w:contextualSpacing/>
        <w:jc w:val="both"/>
        <w:rPr>
          <w:rFonts w:ascii="Tahoma" w:hAnsi="Tahoma" w:cs="Tahoma"/>
          <w:sz w:val="22"/>
          <w:szCs w:val="22"/>
        </w:rPr>
      </w:pPr>
    </w:p>
    <w:p w:rsidR="00656708" w:rsidRPr="00112D59" w:rsidRDefault="00656708" w:rsidP="00656708">
      <w:pPr>
        <w:ind w:left="851" w:right="282"/>
        <w:jc w:val="both"/>
        <w:rPr>
          <w:rFonts w:ascii="Tahoma" w:hAnsi="Tahoma" w:cs="Tahoma"/>
          <w:i/>
          <w:color w:val="000000"/>
          <w:sz w:val="18"/>
          <w:szCs w:val="18"/>
          <w:lang w:val="es-ES_tradnl"/>
        </w:rPr>
      </w:pPr>
      <w:r w:rsidRPr="00112D59">
        <w:rPr>
          <w:rFonts w:ascii="Tahoma" w:hAnsi="Tahoma" w:cs="Tahoma"/>
          <w:i/>
          <w:color w:val="000000"/>
          <w:sz w:val="18"/>
          <w:szCs w:val="18"/>
          <w:lang w:val="es-ES_tradnl"/>
        </w:rPr>
        <w:t>“Sírvase remitir a este Tribunal un documento que sustente que el Sr. Carlos Enrique Cabrera Campos, haya llegado a acumular el monto máximo de penalidad por mora o el monto máximo de otras penalidades, en la ejecución de la prestación a su cargo, derivado del Contrato Nº 005-2009-GRCAJ-GGR – AMC Nº 003-2009, de conformidad a lo establecido en el artículo 165 del Reglamento de la Ley de Contrataciones del Estado, aprobado mediante Decreto Supremo Nº 184-2008-EF”.</w:t>
      </w:r>
    </w:p>
    <w:p w:rsidR="00656708" w:rsidRPr="004411E7" w:rsidRDefault="00656708" w:rsidP="00656708">
      <w:pPr>
        <w:pStyle w:val="Prrafodelista"/>
        <w:widowControl/>
        <w:suppressAutoHyphens w:val="0"/>
        <w:ind w:left="567"/>
        <w:contextualSpacing/>
        <w:jc w:val="both"/>
        <w:rPr>
          <w:rFonts w:ascii="Tahoma" w:hAnsi="Tahoma" w:cs="Tahoma"/>
          <w:sz w:val="22"/>
          <w:szCs w:val="22"/>
        </w:rPr>
      </w:pPr>
    </w:p>
    <w:p w:rsidR="00656708" w:rsidRPr="004411E7" w:rsidRDefault="00656708" w:rsidP="00656708">
      <w:pPr>
        <w:pStyle w:val="Prrafodelista"/>
        <w:widowControl/>
        <w:numPr>
          <w:ilvl w:val="0"/>
          <w:numId w:val="1"/>
        </w:numPr>
        <w:suppressAutoHyphens w:val="0"/>
        <w:ind w:left="567" w:hanging="567"/>
        <w:contextualSpacing/>
        <w:jc w:val="both"/>
        <w:rPr>
          <w:rFonts w:ascii="Tahoma" w:hAnsi="Tahoma" w:cs="Tahoma"/>
          <w:sz w:val="22"/>
          <w:szCs w:val="22"/>
        </w:rPr>
      </w:pPr>
      <w:r w:rsidRPr="004411E7">
        <w:rPr>
          <w:rFonts w:ascii="Tahoma" w:hAnsi="Tahoma" w:cs="Tahoma"/>
          <w:sz w:val="22"/>
          <w:szCs w:val="22"/>
        </w:rPr>
        <w:lastRenderedPageBreak/>
        <w:t>A través del decreto de fecha 05 de julio del 2011, se reiteró a la Entidad, a fin que cumpla con remitir la documentación solicitada a través del decreto de fecha 27 de junio del 2011.</w:t>
      </w:r>
    </w:p>
    <w:p w:rsidR="00656708" w:rsidRPr="004411E7" w:rsidRDefault="00656708" w:rsidP="00656708">
      <w:pPr>
        <w:pStyle w:val="Prrafodelista"/>
        <w:widowControl/>
        <w:suppressAutoHyphens w:val="0"/>
        <w:ind w:left="567"/>
        <w:contextualSpacing/>
        <w:jc w:val="both"/>
        <w:rPr>
          <w:rFonts w:ascii="Tahoma" w:hAnsi="Tahoma" w:cs="Tahoma"/>
          <w:sz w:val="22"/>
          <w:szCs w:val="22"/>
        </w:rPr>
      </w:pPr>
    </w:p>
    <w:p w:rsidR="00656708" w:rsidRPr="004411E7" w:rsidRDefault="00656708" w:rsidP="00656708">
      <w:pPr>
        <w:pStyle w:val="Prrafodelista"/>
        <w:widowControl/>
        <w:numPr>
          <w:ilvl w:val="0"/>
          <w:numId w:val="1"/>
        </w:numPr>
        <w:suppressAutoHyphens w:val="0"/>
        <w:ind w:left="567" w:hanging="567"/>
        <w:contextualSpacing/>
        <w:jc w:val="both"/>
        <w:rPr>
          <w:rFonts w:ascii="Tahoma" w:hAnsi="Tahoma" w:cs="Tahoma"/>
          <w:sz w:val="22"/>
          <w:szCs w:val="22"/>
        </w:rPr>
      </w:pPr>
      <w:r w:rsidRPr="004411E7">
        <w:rPr>
          <w:rFonts w:ascii="Tahoma" w:hAnsi="Tahoma" w:cs="Tahoma"/>
          <w:sz w:val="22"/>
          <w:szCs w:val="22"/>
        </w:rPr>
        <w:t>Mediante decreto de fecha 01 de agosto del 2011, se solicitó información adicional a la Entidad, bajo el siguiente detalle:</w:t>
      </w:r>
    </w:p>
    <w:p w:rsidR="00656708" w:rsidRPr="004411E7" w:rsidRDefault="00656708" w:rsidP="00656708">
      <w:pPr>
        <w:contextualSpacing/>
        <w:jc w:val="both"/>
        <w:rPr>
          <w:rFonts w:ascii="Tahoma" w:hAnsi="Tahoma" w:cs="Tahoma"/>
          <w:sz w:val="22"/>
          <w:szCs w:val="22"/>
        </w:rPr>
      </w:pPr>
    </w:p>
    <w:p w:rsidR="00656708" w:rsidRPr="004411E7" w:rsidRDefault="00656708" w:rsidP="00656708">
      <w:pPr>
        <w:ind w:left="993" w:right="282" w:hanging="142"/>
        <w:contextualSpacing/>
        <w:jc w:val="both"/>
        <w:rPr>
          <w:rFonts w:ascii="Tahoma" w:hAnsi="Tahoma" w:cs="Tahoma"/>
          <w:color w:val="000000"/>
          <w:sz w:val="22"/>
          <w:szCs w:val="22"/>
        </w:rPr>
      </w:pPr>
      <w:r w:rsidRPr="004411E7">
        <w:rPr>
          <w:rFonts w:ascii="Tahoma" w:hAnsi="Tahoma" w:cs="Tahoma"/>
          <w:color w:val="000000"/>
          <w:sz w:val="22"/>
          <w:szCs w:val="22"/>
        </w:rPr>
        <w:t xml:space="preserve">“1 Sírvase </w:t>
      </w:r>
      <w:r w:rsidRPr="004411E7">
        <w:rPr>
          <w:rFonts w:ascii="Tahoma" w:hAnsi="Tahoma" w:cs="Tahoma"/>
          <w:color w:val="000000"/>
          <w:sz w:val="22"/>
          <w:szCs w:val="22"/>
          <w:u w:val="single"/>
        </w:rPr>
        <w:t>precisar si el Oficio Nº 405-2010-GR.CAJ/GGR-SG de fecha 26 de febrero de 2010 mediante el cual se le comunicó a Cabrera Campos Carlos Enrique la Resolución de Gerencia General Regional Nº 059-2010-GR.CAJ/GGR</w:t>
      </w:r>
      <w:r w:rsidRPr="004411E7">
        <w:rPr>
          <w:rFonts w:ascii="Tahoma" w:hAnsi="Tahoma" w:cs="Tahoma"/>
          <w:color w:val="000000"/>
          <w:sz w:val="22"/>
          <w:szCs w:val="22"/>
        </w:rPr>
        <w:t xml:space="preserve">, </w:t>
      </w:r>
      <w:r w:rsidRPr="004411E7">
        <w:rPr>
          <w:rFonts w:ascii="Tahoma" w:hAnsi="Tahoma" w:cs="Tahoma"/>
          <w:color w:val="000000"/>
          <w:sz w:val="22"/>
          <w:szCs w:val="22"/>
          <w:u w:val="single"/>
        </w:rPr>
        <w:t>fue diligenciada para su notificación por notario público</w:t>
      </w:r>
      <w:r w:rsidRPr="004411E7">
        <w:rPr>
          <w:rFonts w:ascii="Tahoma" w:hAnsi="Tahoma" w:cs="Tahoma"/>
          <w:color w:val="000000"/>
          <w:sz w:val="22"/>
          <w:szCs w:val="22"/>
        </w:rPr>
        <w:t xml:space="preserve">, toda vez que del contenido del mismo se observa que </w:t>
      </w:r>
      <w:r w:rsidRPr="004411E7">
        <w:rPr>
          <w:rFonts w:ascii="Tahoma" w:hAnsi="Tahoma" w:cs="Tahoma"/>
          <w:color w:val="000000"/>
          <w:sz w:val="22"/>
          <w:szCs w:val="22"/>
          <w:u w:val="single"/>
        </w:rPr>
        <w:t xml:space="preserve">no se ha dejado constancias de las circunstancias de su diligenciamiento notarial, </w:t>
      </w:r>
      <w:r w:rsidRPr="004411E7">
        <w:rPr>
          <w:rFonts w:ascii="Tahoma" w:hAnsi="Tahoma" w:cs="Tahoma"/>
          <w:color w:val="000000"/>
          <w:sz w:val="22"/>
          <w:szCs w:val="22"/>
        </w:rPr>
        <w:t>debiendo adjuntar, de ser el caso, la referida carta con su respectivo diligenciamiento notarial.</w:t>
      </w:r>
    </w:p>
    <w:p w:rsidR="00656708" w:rsidRPr="004411E7" w:rsidRDefault="00656708" w:rsidP="00656708">
      <w:pPr>
        <w:ind w:left="993" w:right="282" w:hanging="142"/>
        <w:contextualSpacing/>
        <w:jc w:val="both"/>
        <w:rPr>
          <w:rFonts w:ascii="Tahoma" w:hAnsi="Tahoma" w:cs="Tahoma"/>
          <w:color w:val="444444"/>
          <w:sz w:val="22"/>
          <w:szCs w:val="22"/>
        </w:rPr>
      </w:pPr>
    </w:p>
    <w:p w:rsidR="00656708" w:rsidRPr="004411E7" w:rsidRDefault="00656708" w:rsidP="00656708">
      <w:pPr>
        <w:ind w:left="993" w:right="282" w:hanging="142"/>
        <w:contextualSpacing/>
        <w:jc w:val="both"/>
        <w:rPr>
          <w:rFonts w:ascii="Tahoma" w:hAnsi="Tahoma" w:cs="Tahoma"/>
          <w:color w:val="000000"/>
          <w:sz w:val="22"/>
          <w:szCs w:val="22"/>
        </w:rPr>
      </w:pPr>
      <w:r w:rsidRPr="004411E7">
        <w:rPr>
          <w:rFonts w:ascii="Tahoma" w:eastAsia="Tahoma" w:hAnsi="Tahoma" w:cs="Tahoma"/>
          <w:color w:val="000000"/>
          <w:sz w:val="22"/>
          <w:szCs w:val="22"/>
        </w:rPr>
        <w:t>2.  </w:t>
      </w:r>
      <w:r w:rsidRPr="004411E7">
        <w:rPr>
          <w:rFonts w:ascii="Tahoma" w:hAnsi="Tahoma" w:cs="Tahoma"/>
          <w:color w:val="000000"/>
          <w:sz w:val="22"/>
          <w:szCs w:val="22"/>
        </w:rPr>
        <w:t>Sírvase informar si se ha emitido algún pronunciamiento respecto a las comunicaciones presentadas por Cabrera Campos Carlos Enrique, las mismas que a continuación se detallan:</w:t>
      </w:r>
    </w:p>
    <w:p w:rsidR="00656708" w:rsidRPr="004411E7" w:rsidRDefault="00656708" w:rsidP="00656708">
      <w:pPr>
        <w:ind w:left="993" w:right="282" w:hanging="142"/>
        <w:contextualSpacing/>
        <w:jc w:val="both"/>
        <w:rPr>
          <w:rFonts w:ascii="Tahoma" w:hAnsi="Tahoma" w:cs="Tahoma"/>
          <w:color w:val="444444"/>
          <w:sz w:val="22"/>
          <w:szCs w:val="22"/>
        </w:rPr>
      </w:pPr>
    </w:p>
    <w:p w:rsidR="00656708" w:rsidRPr="004411E7" w:rsidRDefault="00656708" w:rsidP="00656708">
      <w:pPr>
        <w:ind w:left="1134" w:right="282" w:hanging="141"/>
        <w:contextualSpacing/>
        <w:jc w:val="both"/>
        <w:rPr>
          <w:rFonts w:ascii="Tahoma" w:hAnsi="Tahoma" w:cs="Tahoma"/>
          <w:color w:val="000000"/>
          <w:sz w:val="22"/>
          <w:szCs w:val="22"/>
        </w:rPr>
      </w:pPr>
      <w:r w:rsidRPr="004411E7">
        <w:rPr>
          <w:rFonts w:ascii="Tahoma" w:eastAsia="Tahoma" w:hAnsi="Tahoma" w:cs="Tahoma"/>
          <w:color w:val="000000"/>
          <w:sz w:val="22"/>
          <w:szCs w:val="22"/>
        </w:rPr>
        <w:t xml:space="preserve">a)   </w:t>
      </w:r>
      <w:r w:rsidRPr="004411E7">
        <w:rPr>
          <w:rFonts w:ascii="Tahoma" w:hAnsi="Tahoma" w:cs="Tahoma"/>
          <w:color w:val="000000"/>
          <w:sz w:val="22"/>
          <w:szCs w:val="22"/>
        </w:rPr>
        <w:t>Carta Nº 002-CECC/GRCAJ presentada el 05 de noviembre del 2009, mediante la cual se presentó el avance del expediente técnico del proyecto “Construcción Puente Carrozable Ventanilla”.</w:t>
      </w:r>
    </w:p>
    <w:p w:rsidR="00656708" w:rsidRPr="004411E7" w:rsidRDefault="00656708" w:rsidP="00656708">
      <w:pPr>
        <w:ind w:left="1134" w:right="282" w:hanging="141"/>
        <w:contextualSpacing/>
        <w:jc w:val="both"/>
        <w:rPr>
          <w:rFonts w:ascii="Tahoma" w:hAnsi="Tahoma" w:cs="Tahoma"/>
          <w:color w:val="444444"/>
          <w:sz w:val="22"/>
          <w:szCs w:val="22"/>
        </w:rPr>
      </w:pPr>
    </w:p>
    <w:p w:rsidR="00656708" w:rsidRPr="004411E7" w:rsidRDefault="00656708" w:rsidP="00656708">
      <w:pPr>
        <w:ind w:left="1134" w:right="282" w:hanging="141"/>
        <w:contextualSpacing/>
        <w:jc w:val="both"/>
        <w:rPr>
          <w:rFonts w:ascii="Tahoma" w:hAnsi="Tahoma" w:cs="Tahoma"/>
          <w:color w:val="000000"/>
          <w:sz w:val="22"/>
          <w:szCs w:val="22"/>
        </w:rPr>
      </w:pPr>
      <w:r w:rsidRPr="004411E7">
        <w:rPr>
          <w:rFonts w:ascii="Tahoma" w:eastAsia="Tahoma" w:hAnsi="Tahoma" w:cs="Tahoma"/>
          <w:color w:val="000000"/>
          <w:sz w:val="22"/>
          <w:szCs w:val="22"/>
        </w:rPr>
        <w:t xml:space="preserve">b)   </w:t>
      </w:r>
      <w:r w:rsidRPr="004411E7">
        <w:rPr>
          <w:rFonts w:ascii="Tahoma" w:hAnsi="Tahoma" w:cs="Tahoma"/>
          <w:color w:val="000000"/>
          <w:sz w:val="22"/>
          <w:szCs w:val="22"/>
        </w:rPr>
        <w:t>Carta Nº 003-CECC/GRCAJ presentada el 23 de noviembre del 2009, mediante la cual se presentó el metrado y planos de metrados de la super estructura (03) del Expediente Técnico del proyecto “Construcción Puente Carrozable Ventanilla”.</w:t>
      </w:r>
    </w:p>
    <w:p w:rsidR="00656708" w:rsidRPr="004411E7" w:rsidRDefault="00656708" w:rsidP="00656708">
      <w:pPr>
        <w:ind w:left="1134" w:right="282" w:hanging="141"/>
        <w:contextualSpacing/>
        <w:jc w:val="both"/>
        <w:rPr>
          <w:rFonts w:ascii="Tahoma" w:hAnsi="Tahoma" w:cs="Tahoma"/>
          <w:color w:val="444444"/>
          <w:sz w:val="22"/>
          <w:szCs w:val="22"/>
        </w:rPr>
      </w:pPr>
    </w:p>
    <w:p w:rsidR="00656708" w:rsidRPr="004411E7" w:rsidRDefault="00656708" w:rsidP="00656708">
      <w:pPr>
        <w:ind w:left="1134" w:right="282" w:hanging="141"/>
        <w:contextualSpacing/>
        <w:jc w:val="both"/>
        <w:rPr>
          <w:rFonts w:ascii="Tahoma" w:hAnsi="Tahoma" w:cs="Tahoma"/>
          <w:color w:val="000000"/>
          <w:sz w:val="22"/>
          <w:szCs w:val="22"/>
        </w:rPr>
      </w:pPr>
      <w:r w:rsidRPr="004411E7">
        <w:rPr>
          <w:rFonts w:ascii="Tahoma" w:eastAsia="Tahoma" w:hAnsi="Tahoma" w:cs="Tahoma"/>
          <w:color w:val="000000"/>
          <w:sz w:val="22"/>
          <w:szCs w:val="22"/>
        </w:rPr>
        <w:t xml:space="preserve">c)   </w:t>
      </w:r>
      <w:r w:rsidRPr="004411E7">
        <w:rPr>
          <w:rFonts w:ascii="Tahoma" w:hAnsi="Tahoma" w:cs="Tahoma"/>
          <w:color w:val="000000"/>
          <w:sz w:val="22"/>
          <w:szCs w:val="22"/>
        </w:rPr>
        <w:t>Carta Nº 004-CECC/GRCAJ presentada el 25 de noviembre del 2009, mediante la cual se presentó el cálculo, planos de metrados de la sub estructura del puente del Expediente Técnico del proyecto “Construcción Puente Carrozable Ventanilla”.</w:t>
      </w:r>
    </w:p>
    <w:p w:rsidR="00656708" w:rsidRPr="004411E7" w:rsidRDefault="00656708" w:rsidP="00656708">
      <w:pPr>
        <w:ind w:left="1134" w:right="282" w:hanging="141"/>
        <w:contextualSpacing/>
        <w:jc w:val="both"/>
        <w:rPr>
          <w:rFonts w:ascii="Tahoma" w:hAnsi="Tahoma" w:cs="Tahoma"/>
          <w:color w:val="444444"/>
          <w:sz w:val="22"/>
          <w:szCs w:val="22"/>
        </w:rPr>
      </w:pPr>
    </w:p>
    <w:p w:rsidR="00656708" w:rsidRPr="004411E7" w:rsidRDefault="00656708" w:rsidP="00656708">
      <w:pPr>
        <w:ind w:left="1134" w:right="282" w:hanging="141"/>
        <w:contextualSpacing/>
        <w:jc w:val="both"/>
        <w:rPr>
          <w:rFonts w:ascii="Tahoma" w:hAnsi="Tahoma" w:cs="Tahoma"/>
          <w:color w:val="000000"/>
          <w:sz w:val="22"/>
          <w:szCs w:val="22"/>
        </w:rPr>
      </w:pPr>
      <w:r w:rsidRPr="004411E7">
        <w:rPr>
          <w:rFonts w:ascii="Tahoma" w:eastAsia="Tahoma" w:hAnsi="Tahoma" w:cs="Tahoma"/>
          <w:color w:val="000000"/>
          <w:sz w:val="22"/>
          <w:szCs w:val="22"/>
        </w:rPr>
        <w:t xml:space="preserve">d)   </w:t>
      </w:r>
      <w:r w:rsidRPr="004411E7">
        <w:rPr>
          <w:rFonts w:ascii="Tahoma" w:hAnsi="Tahoma" w:cs="Tahoma"/>
          <w:color w:val="000000"/>
          <w:sz w:val="22"/>
          <w:szCs w:val="22"/>
        </w:rPr>
        <w:t>Carta Nº 005-CECC/GRCAJ presentada el 26 de noviembre del 2009, mediante la cual se solicitó la prórroga de nueve días; para la presentación del Expediente Técnico del proyecto “Construcción Puente Carrozable Ventanilla”.</w:t>
      </w:r>
    </w:p>
    <w:p w:rsidR="00656708" w:rsidRPr="004411E7" w:rsidRDefault="00656708" w:rsidP="00656708">
      <w:pPr>
        <w:ind w:left="1134" w:right="282" w:hanging="141"/>
        <w:contextualSpacing/>
        <w:jc w:val="both"/>
        <w:rPr>
          <w:rFonts w:ascii="Tahoma" w:hAnsi="Tahoma" w:cs="Tahoma"/>
          <w:color w:val="444444"/>
          <w:sz w:val="22"/>
          <w:szCs w:val="22"/>
        </w:rPr>
      </w:pPr>
    </w:p>
    <w:p w:rsidR="00656708" w:rsidRPr="004411E7" w:rsidRDefault="00656708" w:rsidP="00656708">
      <w:pPr>
        <w:ind w:left="1134" w:right="282" w:hanging="141"/>
        <w:contextualSpacing/>
        <w:jc w:val="both"/>
        <w:rPr>
          <w:rFonts w:ascii="Tahoma" w:hAnsi="Tahoma" w:cs="Tahoma"/>
          <w:color w:val="000000"/>
          <w:sz w:val="22"/>
          <w:szCs w:val="22"/>
        </w:rPr>
      </w:pPr>
      <w:r w:rsidRPr="004411E7">
        <w:rPr>
          <w:rFonts w:ascii="Tahoma" w:eastAsia="Tahoma" w:hAnsi="Tahoma" w:cs="Tahoma"/>
          <w:color w:val="000000"/>
          <w:sz w:val="22"/>
          <w:szCs w:val="22"/>
        </w:rPr>
        <w:t xml:space="preserve">e)   </w:t>
      </w:r>
      <w:r w:rsidRPr="004411E7">
        <w:rPr>
          <w:rFonts w:ascii="Tahoma" w:hAnsi="Tahoma" w:cs="Tahoma"/>
          <w:color w:val="000000"/>
          <w:sz w:val="22"/>
          <w:szCs w:val="22"/>
        </w:rPr>
        <w:t>Carta Nº 006-CECC/GRAJ presentado el 07 de diciembre del 2009, mediante la cual se presentó el Expediente Técnico del proyecto “Construcción Puente Carrozable Ventanilla”</w:t>
      </w:r>
    </w:p>
    <w:p w:rsidR="00656708" w:rsidRPr="004411E7" w:rsidRDefault="00656708" w:rsidP="00656708">
      <w:pPr>
        <w:pStyle w:val="Prrafodelista"/>
        <w:widowControl/>
        <w:suppressAutoHyphens w:val="0"/>
        <w:ind w:left="567"/>
        <w:contextualSpacing/>
        <w:jc w:val="both"/>
        <w:rPr>
          <w:rFonts w:ascii="Tahoma" w:hAnsi="Tahoma" w:cs="Tahoma"/>
          <w:sz w:val="22"/>
          <w:szCs w:val="22"/>
          <w:lang w:val="es-ES"/>
        </w:rPr>
      </w:pPr>
    </w:p>
    <w:p w:rsidR="00656708" w:rsidRPr="004411E7" w:rsidRDefault="00656708" w:rsidP="00656708">
      <w:pPr>
        <w:pStyle w:val="Prrafodelista"/>
        <w:widowControl/>
        <w:numPr>
          <w:ilvl w:val="0"/>
          <w:numId w:val="1"/>
        </w:numPr>
        <w:suppressAutoHyphens w:val="0"/>
        <w:ind w:left="567" w:hanging="567"/>
        <w:contextualSpacing/>
        <w:jc w:val="both"/>
        <w:rPr>
          <w:rFonts w:ascii="Tahoma" w:hAnsi="Tahoma" w:cs="Tahoma"/>
          <w:sz w:val="22"/>
          <w:szCs w:val="22"/>
        </w:rPr>
      </w:pPr>
      <w:r w:rsidRPr="004411E7">
        <w:rPr>
          <w:rFonts w:ascii="Tahoma" w:hAnsi="Tahoma" w:cs="Tahoma"/>
          <w:sz w:val="22"/>
          <w:szCs w:val="22"/>
        </w:rPr>
        <w:lastRenderedPageBreak/>
        <w:t>Con decreto de fecha 08 de agosto del 2011, se reiteró a la Entidad a fin que remita la documentación solicitada mediante decreto de fecha 01 de agosto del 2011.</w:t>
      </w:r>
    </w:p>
    <w:p w:rsidR="00656708" w:rsidRPr="004411E7" w:rsidRDefault="00656708" w:rsidP="00656708">
      <w:pPr>
        <w:pStyle w:val="Prrafodelista"/>
        <w:widowControl/>
        <w:suppressAutoHyphens w:val="0"/>
        <w:ind w:left="567"/>
        <w:contextualSpacing/>
        <w:jc w:val="both"/>
        <w:rPr>
          <w:rFonts w:ascii="Tahoma" w:hAnsi="Tahoma" w:cs="Tahoma"/>
          <w:sz w:val="22"/>
          <w:szCs w:val="22"/>
        </w:rPr>
      </w:pPr>
    </w:p>
    <w:p w:rsidR="00656708" w:rsidRPr="004411E7" w:rsidRDefault="00656708" w:rsidP="00656708">
      <w:pPr>
        <w:pStyle w:val="Prrafodelista"/>
        <w:widowControl/>
        <w:numPr>
          <w:ilvl w:val="0"/>
          <w:numId w:val="1"/>
        </w:numPr>
        <w:suppressAutoHyphens w:val="0"/>
        <w:ind w:left="567" w:hanging="567"/>
        <w:contextualSpacing/>
        <w:jc w:val="both"/>
        <w:rPr>
          <w:rFonts w:ascii="Tahoma" w:hAnsi="Tahoma" w:cs="Tahoma"/>
          <w:sz w:val="22"/>
          <w:szCs w:val="22"/>
        </w:rPr>
      </w:pPr>
      <w:r w:rsidRPr="004411E7">
        <w:rPr>
          <w:rFonts w:ascii="Tahoma" w:hAnsi="Tahoma" w:cs="Tahoma"/>
          <w:sz w:val="22"/>
          <w:szCs w:val="22"/>
        </w:rPr>
        <w:t>No habiendo cumplido la Entidad con remitir la documentación e información solicitada, mediante decreto de fecha 15 de agosto del 2011, se hizo efectivo el apercibimiento de resolver con la documentación obrante en autos.</w:t>
      </w:r>
    </w:p>
    <w:p w:rsidR="00656708" w:rsidRPr="004411E7" w:rsidRDefault="00656708" w:rsidP="00656708">
      <w:pPr>
        <w:pStyle w:val="Prrafodelista"/>
        <w:rPr>
          <w:rFonts w:ascii="Tahoma" w:hAnsi="Tahoma" w:cs="Tahoma"/>
          <w:sz w:val="22"/>
          <w:szCs w:val="22"/>
        </w:rPr>
      </w:pPr>
    </w:p>
    <w:p w:rsidR="00656708" w:rsidRPr="003A4548" w:rsidRDefault="00656708" w:rsidP="00656708">
      <w:pPr>
        <w:pStyle w:val="Prrafodelista"/>
        <w:widowControl/>
        <w:numPr>
          <w:ilvl w:val="0"/>
          <w:numId w:val="1"/>
        </w:numPr>
        <w:suppressAutoHyphens w:val="0"/>
        <w:ind w:left="567" w:hanging="567"/>
        <w:contextualSpacing/>
        <w:jc w:val="both"/>
        <w:rPr>
          <w:rFonts w:ascii="Tahoma" w:hAnsi="Tahoma" w:cs="Tahoma"/>
          <w:sz w:val="22"/>
          <w:szCs w:val="22"/>
        </w:rPr>
      </w:pPr>
      <w:r w:rsidRPr="003A4548">
        <w:rPr>
          <w:rFonts w:ascii="Tahoma" w:hAnsi="Tahoma" w:cs="Tahoma"/>
          <w:sz w:val="22"/>
          <w:szCs w:val="22"/>
        </w:rPr>
        <w:t>Con Oficio Nº 3334-2011-GR.CAJ/GGR-SG presentado el 24 de agosto del 2011, la Entidad remitió documentación e información.</w:t>
      </w:r>
    </w:p>
    <w:p w:rsidR="00656708" w:rsidRPr="003A4548" w:rsidRDefault="00656708" w:rsidP="00656708">
      <w:pPr>
        <w:pStyle w:val="Prrafodelista"/>
        <w:rPr>
          <w:rFonts w:ascii="Tahoma" w:hAnsi="Tahoma" w:cs="Tahoma"/>
          <w:sz w:val="22"/>
          <w:szCs w:val="22"/>
        </w:rPr>
      </w:pPr>
    </w:p>
    <w:p w:rsidR="00656708" w:rsidRPr="003A4548" w:rsidRDefault="00656708" w:rsidP="00656708">
      <w:pPr>
        <w:pStyle w:val="Prrafodelista"/>
        <w:widowControl/>
        <w:numPr>
          <w:ilvl w:val="0"/>
          <w:numId w:val="1"/>
        </w:numPr>
        <w:suppressAutoHyphens w:val="0"/>
        <w:ind w:left="567" w:hanging="567"/>
        <w:contextualSpacing/>
        <w:jc w:val="both"/>
        <w:rPr>
          <w:rFonts w:ascii="Tahoma" w:hAnsi="Tahoma" w:cs="Tahoma"/>
          <w:sz w:val="22"/>
          <w:szCs w:val="22"/>
        </w:rPr>
      </w:pPr>
      <w:r w:rsidRPr="003A4548">
        <w:rPr>
          <w:rFonts w:ascii="Tahoma" w:hAnsi="Tahoma" w:cs="Tahoma"/>
          <w:sz w:val="22"/>
          <w:szCs w:val="22"/>
        </w:rPr>
        <w:t xml:space="preserve">Con decreto de fecha 25 de agosto del 2011, se solicitó información adicional al Centro de Negociación, Conciliación y Arbitraje de Cajamarca “CENCAC”, a fin que informe </w:t>
      </w:r>
      <w:r w:rsidRPr="003A4548">
        <w:rPr>
          <w:rFonts w:ascii="Tahoma" w:hAnsi="Tahoma" w:cs="Tahoma"/>
          <w:color w:val="000000"/>
          <w:sz w:val="22"/>
          <w:szCs w:val="22"/>
        </w:rPr>
        <w:t>sobre el proceso de conciliación solicitado por el Sr. Carlos Enrique Cabrera Campos, respecto a la controversia surgida con el Gobierno Regional de Cajamarca, en la Ejecución del Contrato Nº 005-2009-GRCAJ-GGR derivado del proceso de selección Adjudicación de Menor Cuantía Nº 003-2009-GR.CAJ.</w:t>
      </w:r>
    </w:p>
    <w:p w:rsidR="00656708" w:rsidRPr="003A4548" w:rsidRDefault="00656708" w:rsidP="00656708">
      <w:pPr>
        <w:pStyle w:val="Prrafodelista"/>
        <w:rPr>
          <w:rFonts w:ascii="Tahoma" w:hAnsi="Tahoma" w:cs="Tahoma"/>
          <w:sz w:val="22"/>
          <w:szCs w:val="22"/>
        </w:rPr>
      </w:pPr>
    </w:p>
    <w:p w:rsidR="00656708" w:rsidRPr="003A4548" w:rsidRDefault="00656708" w:rsidP="00656708">
      <w:pPr>
        <w:pStyle w:val="Prrafodelista"/>
        <w:widowControl/>
        <w:numPr>
          <w:ilvl w:val="0"/>
          <w:numId w:val="1"/>
        </w:numPr>
        <w:suppressAutoHyphens w:val="0"/>
        <w:ind w:left="567" w:hanging="567"/>
        <w:contextualSpacing/>
        <w:jc w:val="both"/>
        <w:rPr>
          <w:rFonts w:ascii="Tahoma" w:hAnsi="Tahoma" w:cs="Tahoma"/>
          <w:sz w:val="22"/>
          <w:szCs w:val="22"/>
        </w:rPr>
      </w:pPr>
      <w:r w:rsidRPr="003A4548">
        <w:rPr>
          <w:rFonts w:ascii="Tahoma" w:hAnsi="Tahoma" w:cs="Tahoma"/>
          <w:sz w:val="22"/>
          <w:szCs w:val="22"/>
        </w:rPr>
        <w:t>Con fecha 25 de agosto del 2011, el Centro de Negociación, Conciliación y Arbitraje de Cajamarca “CENCAC”, remitió el Acta de Conciliación Nº 012-2010, en la cual se dejó constancia que la conciliación no se pudo realizar, por la inasistencia de las partes para la segunda Audiencia de Conciliación convocada para el 06 de abril del 2010.</w:t>
      </w:r>
    </w:p>
    <w:p w:rsidR="00656708" w:rsidRPr="00415B46" w:rsidRDefault="00656708" w:rsidP="00656708">
      <w:pPr>
        <w:rPr>
          <w:rFonts w:ascii="Tahoma" w:hAnsi="Tahoma" w:cs="Tahoma"/>
          <w:b/>
          <w:sz w:val="22"/>
          <w:szCs w:val="22"/>
          <w:lang w:val="es-ES_tradnl"/>
        </w:rPr>
      </w:pPr>
    </w:p>
    <w:p w:rsidR="00656708" w:rsidRPr="00415B46" w:rsidRDefault="00656708" w:rsidP="00656708">
      <w:pPr>
        <w:pStyle w:val="Prrafodelista"/>
        <w:ind w:left="567"/>
        <w:rPr>
          <w:rFonts w:ascii="Tahoma" w:hAnsi="Tahoma" w:cs="Tahoma"/>
          <w:b/>
          <w:sz w:val="22"/>
          <w:szCs w:val="22"/>
        </w:rPr>
      </w:pPr>
      <w:r w:rsidRPr="00415B46">
        <w:rPr>
          <w:rFonts w:ascii="Tahoma" w:hAnsi="Tahoma" w:cs="Tahoma"/>
          <w:b/>
          <w:sz w:val="22"/>
          <w:szCs w:val="22"/>
        </w:rPr>
        <w:t>FUNDAMENTACIÓN</w:t>
      </w:r>
    </w:p>
    <w:p w:rsidR="00656708" w:rsidRPr="00415B46" w:rsidRDefault="00656708" w:rsidP="00656708">
      <w:pPr>
        <w:ind w:left="426"/>
        <w:jc w:val="both"/>
        <w:rPr>
          <w:rFonts w:ascii="Tahoma" w:hAnsi="Tahoma" w:cs="Tahoma"/>
          <w:sz w:val="22"/>
          <w:szCs w:val="22"/>
          <w:lang w:eastAsia="es-PE"/>
        </w:rPr>
      </w:pPr>
    </w:p>
    <w:p w:rsidR="00656708" w:rsidRPr="004411E7" w:rsidRDefault="00656708" w:rsidP="00656708">
      <w:pPr>
        <w:pStyle w:val="Prrafodelista"/>
        <w:widowControl/>
        <w:numPr>
          <w:ilvl w:val="0"/>
          <w:numId w:val="4"/>
        </w:numPr>
        <w:suppressAutoHyphens w:val="0"/>
        <w:ind w:left="567" w:hanging="567"/>
        <w:contextualSpacing/>
        <w:jc w:val="both"/>
        <w:rPr>
          <w:rFonts w:ascii="Tahoma" w:hAnsi="Tahoma" w:cs="Tahoma"/>
          <w:sz w:val="22"/>
          <w:szCs w:val="22"/>
        </w:rPr>
      </w:pPr>
      <w:r w:rsidRPr="004411E7">
        <w:rPr>
          <w:rFonts w:ascii="Tahoma" w:hAnsi="Tahoma" w:cs="Tahoma"/>
          <w:sz w:val="22"/>
          <w:szCs w:val="22"/>
          <w:lang w:eastAsia="es-PE"/>
        </w:rPr>
        <w:t>El presente caso está referido a la imputación formulada contra e</w:t>
      </w:r>
      <w:r w:rsidRPr="004411E7">
        <w:rPr>
          <w:rFonts w:ascii="Tahoma" w:hAnsi="Tahoma" w:cs="Tahoma"/>
          <w:sz w:val="22"/>
          <w:szCs w:val="22"/>
        </w:rPr>
        <w:t>l Contratista</w:t>
      </w:r>
      <w:r w:rsidRPr="004411E7">
        <w:rPr>
          <w:rFonts w:ascii="Tahoma" w:hAnsi="Tahoma" w:cs="Tahoma"/>
          <w:sz w:val="22"/>
          <w:szCs w:val="22"/>
          <w:lang w:eastAsia="es-PE"/>
        </w:rPr>
        <w:t xml:space="preserve">, por su supuesta responsabilidad al haber dado lugar a la </w:t>
      </w:r>
      <w:r w:rsidRPr="004411E7">
        <w:rPr>
          <w:rFonts w:ascii="Tahoma" w:hAnsi="Tahoma" w:cs="Tahoma"/>
          <w:sz w:val="22"/>
          <w:szCs w:val="22"/>
        </w:rPr>
        <w:t>resolución del CONTRATO Nº 005-2009-GRCAJ-GGR AMC Nº 003-2009-GRCAJ</w:t>
      </w:r>
      <w:r>
        <w:rPr>
          <w:rFonts w:ascii="Tahoma" w:hAnsi="Tahoma" w:cs="Tahoma"/>
          <w:sz w:val="22"/>
          <w:szCs w:val="22"/>
        </w:rPr>
        <w:t xml:space="preserve">, </w:t>
      </w:r>
      <w:r w:rsidRPr="004411E7">
        <w:rPr>
          <w:rFonts w:ascii="Tahoma" w:hAnsi="Tahoma" w:cs="Tahoma"/>
          <w:sz w:val="22"/>
          <w:szCs w:val="22"/>
        </w:rPr>
        <w:t>por haber llegado a acumular el monto máximo de la penalidad por mora en la ejecución de la prestación a su cargo; derivado de la Adjudicación de Menor Cuantía Nº 003-2009-GR.CAJ; infracción prevista en el literal b) del numeral 51.1 del artículo 51 de la Ley de Contrataciones del Estado, aprobado mediante Decreto Legislativo Nº 1017, en adelante la Ley.</w:t>
      </w:r>
    </w:p>
    <w:p w:rsidR="00656708" w:rsidRPr="004411E7" w:rsidRDefault="00656708" w:rsidP="00656708">
      <w:pPr>
        <w:pStyle w:val="Prrafodelista"/>
        <w:widowControl/>
        <w:suppressAutoHyphens w:val="0"/>
        <w:ind w:left="567"/>
        <w:contextualSpacing/>
        <w:jc w:val="both"/>
        <w:rPr>
          <w:rFonts w:ascii="Tahoma" w:hAnsi="Tahoma" w:cs="Tahoma"/>
          <w:sz w:val="22"/>
          <w:szCs w:val="22"/>
        </w:rPr>
      </w:pPr>
    </w:p>
    <w:p w:rsidR="00656708" w:rsidRDefault="00656708" w:rsidP="00656708">
      <w:pPr>
        <w:pStyle w:val="Prrafodelista"/>
        <w:widowControl/>
        <w:numPr>
          <w:ilvl w:val="0"/>
          <w:numId w:val="4"/>
        </w:numPr>
        <w:suppressAutoHyphens w:val="0"/>
        <w:ind w:left="567" w:hanging="567"/>
        <w:contextualSpacing/>
        <w:jc w:val="both"/>
        <w:rPr>
          <w:rFonts w:ascii="Tahoma" w:hAnsi="Tahoma" w:cs="Tahoma"/>
          <w:sz w:val="22"/>
          <w:szCs w:val="22"/>
        </w:rPr>
      </w:pPr>
      <w:r w:rsidRPr="004411E7">
        <w:rPr>
          <w:rFonts w:ascii="Tahoma" w:hAnsi="Tahoma" w:cs="Tahoma"/>
          <w:sz w:val="22"/>
          <w:szCs w:val="22"/>
          <w:lang w:eastAsia="es-PE"/>
        </w:rPr>
        <w:t>El procedimiento de resolución contractual, cuya observancia es condición necesaria para evaluar la existencia de eventuales responsabilidades de carácter administrativo, se encuentra previsto en el literal c) del artículo 40 de la Ley</w:t>
      </w:r>
      <w:r>
        <w:rPr>
          <w:rFonts w:ascii="Tahoma" w:hAnsi="Tahoma" w:cs="Tahoma"/>
          <w:sz w:val="22"/>
          <w:szCs w:val="22"/>
          <w:lang w:eastAsia="es-PE"/>
        </w:rPr>
        <w:t>, cuando la resolución se origine por el incumplimiento injustificado de obligaciones contractuales, legales o reglamentarias a cargo de la contratista o cuando paralice o reduzca injustificadamente la ejecución de la prestación.</w:t>
      </w:r>
    </w:p>
    <w:p w:rsidR="00656708" w:rsidRPr="00AB482A" w:rsidRDefault="00656708" w:rsidP="00656708">
      <w:pPr>
        <w:pStyle w:val="Prrafodelista"/>
        <w:rPr>
          <w:rFonts w:ascii="Tahoma" w:hAnsi="Tahoma" w:cs="Tahoma"/>
          <w:sz w:val="22"/>
          <w:szCs w:val="22"/>
        </w:rPr>
      </w:pPr>
    </w:p>
    <w:p w:rsidR="00656708" w:rsidRPr="004411E7" w:rsidRDefault="00656708" w:rsidP="00656708">
      <w:pPr>
        <w:pStyle w:val="Prrafodelista"/>
        <w:widowControl/>
        <w:suppressAutoHyphens w:val="0"/>
        <w:ind w:left="567"/>
        <w:contextualSpacing/>
        <w:jc w:val="both"/>
        <w:rPr>
          <w:rFonts w:ascii="Tahoma" w:hAnsi="Tahoma" w:cs="Tahoma"/>
          <w:sz w:val="22"/>
          <w:szCs w:val="22"/>
        </w:rPr>
      </w:pPr>
      <w:r>
        <w:rPr>
          <w:rFonts w:ascii="Tahoma" w:hAnsi="Tahoma" w:cs="Tahoma"/>
          <w:sz w:val="22"/>
          <w:szCs w:val="22"/>
        </w:rPr>
        <w:t xml:space="preserve">Ahora bien, teniendo en consideración que en el presente caso, la resolución del contrato se originó por responsabilidad de la Contratista, al </w:t>
      </w:r>
      <w:r w:rsidRPr="004411E7">
        <w:rPr>
          <w:rFonts w:ascii="Tahoma" w:hAnsi="Tahoma" w:cs="Tahoma"/>
          <w:sz w:val="22"/>
          <w:szCs w:val="22"/>
        </w:rPr>
        <w:t xml:space="preserve">haber llegado a acumular el monto máximo de la penalidad por mora en la ejecución de la </w:t>
      </w:r>
      <w:r w:rsidRPr="004411E7">
        <w:rPr>
          <w:rFonts w:ascii="Tahoma" w:hAnsi="Tahoma" w:cs="Tahoma"/>
          <w:sz w:val="22"/>
          <w:szCs w:val="22"/>
        </w:rPr>
        <w:lastRenderedPageBreak/>
        <w:t>prestación a su cargo</w:t>
      </w:r>
      <w:r>
        <w:rPr>
          <w:rFonts w:ascii="Tahoma" w:hAnsi="Tahoma" w:cs="Tahoma"/>
          <w:sz w:val="22"/>
          <w:szCs w:val="22"/>
        </w:rPr>
        <w:t>, es de aplicación</w:t>
      </w:r>
      <w:r w:rsidRPr="004411E7">
        <w:rPr>
          <w:rFonts w:ascii="Tahoma" w:hAnsi="Tahoma" w:cs="Tahoma"/>
          <w:sz w:val="22"/>
          <w:szCs w:val="22"/>
        </w:rPr>
        <w:t xml:space="preserve"> el </w:t>
      </w:r>
      <w:r w:rsidRPr="004411E7">
        <w:rPr>
          <w:rFonts w:ascii="Tahoma" w:hAnsi="Tahoma" w:cs="Tahoma"/>
          <w:sz w:val="22"/>
          <w:szCs w:val="22"/>
          <w:lang w:eastAsia="es-PE"/>
        </w:rPr>
        <w:t>artículo 169 del Reglamento</w:t>
      </w:r>
      <w:r>
        <w:rPr>
          <w:rFonts w:ascii="Tahoma" w:hAnsi="Tahoma" w:cs="Tahoma"/>
          <w:sz w:val="22"/>
          <w:szCs w:val="22"/>
          <w:lang w:eastAsia="es-PE"/>
        </w:rPr>
        <w:t xml:space="preserve">, el mismo que establece </w:t>
      </w:r>
      <w:r w:rsidRPr="004411E7">
        <w:rPr>
          <w:rFonts w:ascii="Tahoma" w:hAnsi="Tahoma" w:cs="Tahoma"/>
          <w:sz w:val="22"/>
          <w:szCs w:val="22"/>
        </w:rPr>
        <w:t>que no será necesario efectuar un requerimiento previo cuando la resolución del contrato se deba a la acumulación del monto máximo de penalidad por mora, o por otras penalidades, o cuando la situación de incumplimiento no pueda ser revertida. En este caso, bastará comunicar al contratista mediante carta notarial la decisión de resolver el contrato.</w:t>
      </w:r>
    </w:p>
    <w:p w:rsidR="00656708" w:rsidRPr="004411E7" w:rsidRDefault="00656708" w:rsidP="00656708">
      <w:pPr>
        <w:pStyle w:val="Prrafodelista"/>
        <w:widowControl/>
        <w:suppressAutoHyphens w:val="0"/>
        <w:ind w:left="426"/>
        <w:contextualSpacing/>
        <w:jc w:val="both"/>
        <w:rPr>
          <w:rFonts w:ascii="Tahoma" w:hAnsi="Tahoma" w:cs="Tahoma"/>
          <w:sz w:val="22"/>
          <w:szCs w:val="22"/>
          <w:lang w:eastAsia="es-PE"/>
        </w:rPr>
      </w:pPr>
    </w:p>
    <w:p w:rsidR="00656708" w:rsidRPr="004411E7" w:rsidRDefault="00656708" w:rsidP="00656708">
      <w:pPr>
        <w:pStyle w:val="Prrafodelista"/>
        <w:widowControl/>
        <w:numPr>
          <w:ilvl w:val="0"/>
          <w:numId w:val="4"/>
        </w:numPr>
        <w:suppressAutoHyphens w:val="0"/>
        <w:ind w:left="567" w:hanging="567"/>
        <w:contextualSpacing/>
        <w:jc w:val="both"/>
        <w:rPr>
          <w:rFonts w:ascii="Tahoma" w:hAnsi="Tahoma" w:cs="Tahoma"/>
          <w:sz w:val="22"/>
          <w:szCs w:val="22"/>
        </w:rPr>
      </w:pPr>
      <w:r w:rsidRPr="004411E7">
        <w:rPr>
          <w:rFonts w:ascii="Tahoma" w:hAnsi="Tahoma" w:cs="Tahoma"/>
          <w:sz w:val="22"/>
          <w:szCs w:val="22"/>
          <w:lang w:eastAsia="es-PE"/>
        </w:rPr>
        <w:t>Como se advierte, la norma ha dispuesto un procedimiento especial para que la Entidad pueda resolver el contrato válidamente. En ese sentido, el Tribunal está obligado a verificar que la Entidad haya cumplido dicho procedimiento.</w:t>
      </w:r>
    </w:p>
    <w:p w:rsidR="00656708" w:rsidRPr="004411E7" w:rsidRDefault="00656708" w:rsidP="00656708">
      <w:pPr>
        <w:pStyle w:val="Prrafodelista"/>
        <w:widowControl/>
        <w:suppressAutoHyphens w:val="0"/>
        <w:ind w:left="567"/>
        <w:contextualSpacing/>
        <w:jc w:val="both"/>
        <w:rPr>
          <w:rFonts w:ascii="Tahoma" w:hAnsi="Tahoma" w:cs="Tahoma"/>
          <w:sz w:val="22"/>
          <w:szCs w:val="22"/>
        </w:rPr>
      </w:pPr>
    </w:p>
    <w:p w:rsidR="00656708" w:rsidRPr="004411E7" w:rsidRDefault="00656708" w:rsidP="00656708">
      <w:pPr>
        <w:pStyle w:val="Prrafodelista"/>
        <w:widowControl/>
        <w:numPr>
          <w:ilvl w:val="0"/>
          <w:numId w:val="4"/>
        </w:numPr>
        <w:suppressAutoHyphens w:val="0"/>
        <w:ind w:left="567" w:hanging="567"/>
        <w:contextualSpacing/>
        <w:jc w:val="both"/>
        <w:rPr>
          <w:rFonts w:ascii="Tahoma" w:hAnsi="Tahoma" w:cs="Tahoma"/>
          <w:sz w:val="22"/>
          <w:szCs w:val="22"/>
        </w:rPr>
      </w:pPr>
      <w:r>
        <w:rPr>
          <w:rFonts w:ascii="Tahoma" w:hAnsi="Tahoma" w:cs="Tahoma"/>
          <w:sz w:val="22"/>
          <w:szCs w:val="22"/>
        </w:rPr>
        <w:t>Respecto a ello</w:t>
      </w:r>
      <w:r w:rsidRPr="004411E7">
        <w:rPr>
          <w:rFonts w:ascii="Tahoma" w:hAnsi="Tahoma" w:cs="Tahoma"/>
          <w:sz w:val="22"/>
          <w:szCs w:val="22"/>
        </w:rPr>
        <w:t>, de la revisión de la documentación que obra en autos, se puede advertir que mediante el Oficio Nº 3334-2011-GR.CAJ/GGR-SG presentado el 24 de agosto del 2011, la Entidad remitió el Oficio Nº 405-2010-GR.CAJ/GGR-SG de fecha 26 de febrero del 2010, debidamente diligenciada notarialmente el 27 de febrero del 2010, a través del cual se comunicó a la Contratista la Resolución de Gerencia General Regional Nº 059-2010-GR.CAJ/GGR del 25 de febrero del 2010, la misma que resolvió en forma total el CONTRATO Nº 005-2009-GRCAJ-GGR AMC Nº 003-2009-GRCAJ, en tal sentido, en aplicación del acotado artículo 169, no era necesario efectuar un requerimiento previo, por lo cual, se ha acreditado que ha quedado resuelto el contrato de pleno derecho el contrato.</w:t>
      </w:r>
    </w:p>
    <w:p w:rsidR="00656708" w:rsidRPr="004411E7" w:rsidRDefault="00656708" w:rsidP="00656708">
      <w:pPr>
        <w:pStyle w:val="Prrafodelista"/>
        <w:rPr>
          <w:rFonts w:ascii="Tahoma" w:hAnsi="Tahoma" w:cs="Tahoma"/>
          <w:sz w:val="22"/>
          <w:szCs w:val="22"/>
        </w:rPr>
      </w:pPr>
    </w:p>
    <w:p w:rsidR="00656708" w:rsidRPr="004411E7" w:rsidRDefault="00656708" w:rsidP="00656708">
      <w:pPr>
        <w:pStyle w:val="Prrafodelista"/>
        <w:widowControl/>
        <w:numPr>
          <w:ilvl w:val="0"/>
          <w:numId w:val="4"/>
        </w:numPr>
        <w:suppressAutoHyphens w:val="0"/>
        <w:ind w:left="567" w:hanging="567"/>
        <w:contextualSpacing/>
        <w:jc w:val="both"/>
        <w:rPr>
          <w:rFonts w:ascii="Tahoma" w:hAnsi="Tahoma" w:cs="Tahoma"/>
          <w:sz w:val="22"/>
          <w:szCs w:val="22"/>
        </w:rPr>
      </w:pPr>
      <w:r>
        <w:rPr>
          <w:rFonts w:ascii="Tahoma" w:hAnsi="Tahoma" w:cs="Tahoma"/>
          <w:sz w:val="22"/>
          <w:szCs w:val="22"/>
        </w:rPr>
        <w:t>C</w:t>
      </w:r>
      <w:r w:rsidRPr="004411E7">
        <w:rPr>
          <w:rFonts w:ascii="Tahoma" w:hAnsi="Tahoma" w:cs="Tahoma"/>
          <w:sz w:val="22"/>
          <w:szCs w:val="22"/>
        </w:rPr>
        <w:t>abe precisar que si bien es cierto, se ha podido advertir que, tal como lo señaló la Contratista, efectivamente se ha solicitado vía conciliación la solución de conflictos derivado de la resolución del contrato, no es menos cierto que dicha conciliación no se ha podido llevar a cabo por la suspensión de la primera Audiencia de Conciliación convocada para el día 25 de marzo del 2010, y por la inasistencia de las partes a la segunda Audiencia de Conciliación convocada para el día 06 de abril del 2010, tal como se puede advertir del Acta de Conciliación Nº 012-2010 presentada por el Centro de Negociación Conciliación y Arbitraje de Cajamarca “CENCAC”. Asimismo, se debe tener en consideración que ni la Entidad ni la Contratista han informado a esta instancia, que se haya objetado los efectos de la resolución contractual vía arbitraje.</w:t>
      </w:r>
    </w:p>
    <w:p w:rsidR="00656708" w:rsidRPr="004411E7" w:rsidRDefault="00656708" w:rsidP="00656708">
      <w:pPr>
        <w:pStyle w:val="Prrafodelista"/>
        <w:rPr>
          <w:rFonts w:ascii="Tahoma" w:hAnsi="Tahoma" w:cs="Tahoma"/>
          <w:sz w:val="22"/>
          <w:szCs w:val="22"/>
        </w:rPr>
      </w:pPr>
    </w:p>
    <w:p w:rsidR="00656708" w:rsidRPr="004411E7" w:rsidRDefault="00656708" w:rsidP="00656708">
      <w:pPr>
        <w:pStyle w:val="Prrafodelista"/>
        <w:widowControl/>
        <w:numPr>
          <w:ilvl w:val="0"/>
          <w:numId w:val="4"/>
        </w:numPr>
        <w:suppressAutoHyphens w:val="0"/>
        <w:ind w:left="567" w:hanging="567"/>
        <w:contextualSpacing/>
        <w:jc w:val="both"/>
        <w:rPr>
          <w:rFonts w:ascii="Tahoma" w:hAnsi="Tahoma" w:cs="Tahoma"/>
          <w:sz w:val="22"/>
          <w:szCs w:val="22"/>
        </w:rPr>
      </w:pPr>
      <w:r w:rsidRPr="004411E7">
        <w:rPr>
          <w:rFonts w:ascii="Tahoma" w:hAnsi="Tahoma" w:cs="Tahoma"/>
          <w:sz w:val="22"/>
          <w:szCs w:val="22"/>
        </w:rPr>
        <w:t>En segundo lugar, corresponde a este Colegiado determinar si dicha conducta resultó justificada o no, en tanto que solamente el incumplimiento que obedece a causas injustificadas atribuibles a los contratistas es sancionable administrativamente, en estricta observancia del Principio de Tipicidad previsto en el artículo 230 de la Ley № 27444, Ley del Procedimiento Administrativo General, en cuya virtud sólo constituyen conductas sancionables administrativamente las infracciones previstas expresamente en normas con rango de ley mediante su tipificación como tales, sin admitir interpretación extensiva o por analogía.</w:t>
      </w:r>
    </w:p>
    <w:p w:rsidR="00656708" w:rsidRPr="004411E7" w:rsidRDefault="00656708" w:rsidP="00656708">
      <w:pPr>
        <w:pStyle w:val="Prrafodelista"/>
        <w:rPr>
          <w:rFonts w:ascii="Tahoma" w:hAnsi="Tahoma" w:cs="Tahoma"/>
          <w:sz w:val="22"/>
          <w:szCs w:val="22"/>
        </w:rPr>
      </w:pPr>
    </w:p>
    <w:p w:rsidR="00656708" w:rsidRPr="004411E7" w:rsidRDefault="00656708" w:rsidP="00656708">
      <w:pPr>
        <w:pStyle w:val="Prrafodelista"/>
        <w:widowControl/>
        <w:numPr>
          <w:ilvl w:val="0"/>
          <w:numId w:val="4"/>
        </w:numPr>
        <w:suppressAutoHyphens w:val="0"/>
        <w:ind w:left="567" w:hanging="567"/>
        <w:contextualSpacing/>
        <w:jc w:val="both"/>
        <w:rPr>
          <w:rFonts w:ascii="Tahoma" w:hAnsi="Tahoma" w:cs="Tahoma"/>
          <w:sz w:val="22"/>
          <w:szCs w:val="22"/>
        </w:rPr>
      </w:pPr>
      <w:r w:rsidRPr="004411E7">
        <w:rPr>
          <w:rFonts w:ascii="Tahoma" w:hAnsi="Tahoma" w:cs="Tahoma"/>
          <w:sz w:val="22"/>
          <w:szCs w:val="22"/>
        </w:rPr>
        <w:lastRenderedPageBreak/>
        <w:t>En ese sentido, cabe anotar que existe una presunción legal de que el incumplimiento de obligaciones o su cumplimiento parcial, tardío o defectuoso, es atribuible a la parte que debió ejecutarlas, salvo que ésta demuestre que el incumplimiento se produjo, a pesar de haber actuado con la diligencia ordinaria exigida por la naturaleza de la prestación, o que la causa de ella fue un caso fortuito o fuerza mayor</w:t>
      </w:r>
      <w:r w:rsidRPr="004411E7">
        <w:rPr>
          <w:rStyle w:val="Refdenotaalpie"/>
          <w:rFonts w:ascii="Tahoma" w:hAnsi="Tahoma" w:cs="Tahoma"/>
          <w:sz w:val="22"/>
          <w:szCs w:val="22"/>
        </w:rPr>
        <w:footnoteReference w:id="2"/>
      </w:r>
      <w:r w:rsidRPr="004411E7">
        <w:rPr>
          <w:rFonts w:ascii="Tahoma" w:hAnsi="Tahoma" w:cs="Tahoma"/>
          <w:sz w:val="22"/>
          <w:szCs w:val="22"/>
        </w:rPr>
        <w:t>.</w:t>
      </w:r>
    </w:p>
    <w:p w:rsidR="00656708" w:rsidRPr="004411E7" w:rsidRDefault="00656708" w:rsidP="00656708">
      <w:pPr>
        <w:contextualSpacing/>
        <w:jc w:val="both"/>
        <w:rPr>
          <w:rFonts w:ascii="Tahoma" w:hAnsi="Tahoma" w:cs="Tahoma"/>
          <w:sz w:val="22"/>
          <w:szCs w:val="22"/>
        </w:rPr>
      </w:pPr>
    </w:p>
    <w:p w:rsidR="00656708" w:rsidRPr="004411E7" w:rsidRDefault="00656708" w:rsidP="00656708">
      <w:pPr>
        <w:pStyle w:val="Prrafodelista"/>
        <w:widowControl/>
        <w:numPr>
          <w:ilvl w:val="0"/>
          <w:numId w:val="4"/>
        </w:numPr>
        <w:suppressAutoHyphens w:val="0"/>
        <w:ind w:left="567" w:hanging="567"/>
        <w:contextualSpacing/>
        <w:jc w:val="both"/>
        <w:rPr>
          <w:rFonts w:ascii="Tahoma" w:hAnsi="Tahoma" w:cs="Tahoma"/>
          <w:sz w:val="22"/>
          <w:szCs w:val="22"/>
        </w:rPr>
      </w:pPr>
      <w:r w:rsidRPr="004411E7">
        <w:rPr>
          <w:rFonts w:ascii="Tahoma" w:hAnsi="Tahoma" w:cs="Tahoma"/>
          <w:sz w:val="22"/>
          <w:szCs w:val="22"/>
        </w:rPr>
        <w:t>Ahora bien, la Contratista en su escrito de descargos ha señalado que ha existido desde el inicio un incumplimiento por parte de la Entidad, toda vez que la suscripción del contrato se realizó el 05 de junio del 2009, por lo cual, en virtud de la cláusula quinta, el terreno se debía entregar dentro de los diez (10) días hábiles de la firma del contrato, es decir desde el 15 de junio del 2009, sin embargo, el terreno se entregó el día 22 de junio del 2009.</w:t>
      </w:r>
    </w:p>
    <w:p w:rsidR="00656708" w:rsidRPr="004411E7" w:rsidRDefault="00656708" w:rsidP="00656708">
      <w:pPr>
        <w:rPr>
          <w:rFonts w:ascii="Tahoma" w:hAnsi="Tahoma" w:cs="Tahoma"/>
          <w:sz w:val="22"/>
          <w:szCs w:val="22"/>
        </w:rPr>
      </w:pPr>
    </w:p>
    <w:p w:rsidR="00656708" w:rsidRPr="004411E7" w:rsidRDefault="00656708" w:rsidP="00656708">
      <w:pPr>
        <w:pStyle w:val="Prrafodelista"/>
        <w:widowControl/>
        <w:suppressAutoHyphens w:val="0"/>
        <w:ind w:left="567"/>
        <w:contextualSpacing/>
        <w:jc w:val="both"/>
        <w:rPr>
          <w:rFonts w:ascii="Tahoma" w:hAnsi="Tahoma" w:cs="Tahoma"/>
          <w:sz w:val="22"/>
          <w:szCs w:val="22"/>
        </w:rPr>
      </w:pPr>
      <w:r w:rsidRPr="004411E7">
        <w:rPr>
          <w:rFonts w:ascii="Tahoma" w:hAnsi="Tahoma" w:cs="Tahoma"/>
          <w:sz w:val="22"/>
          <w:szCs w:val="22"/>
        </w:rPr>
        <w:t>Respecto a ello, se debe señalar que frente al incumplimiento de la Entidad de sus obligaciones contractuales, como la no entrega del terreno de manera oportuna, la Contratista debió activar los mecanismos que le franquea la normativa de contrataciones del Estado, a fin de no verse perjudicada en el cumplimiento de sus obligaciones contractuales, por lo cual, tal como lo establece el artículo 168 del Reglamento, la Contratista debió haber requerido a la Entidad de conformidad con el inciso c) del artículo 40 de la Ley, a fin que cumpla con sus obligaciones contractuales y, en el supuesto que no cumpliera con ello, resolver el contrato; no obstante ello, no se realizó ninguno de dichos actos, por lo cual, carece de sustento lo señalado por la Contratista.</w:t>
      </w:r>
    </w:p>
    <w:p w:rsidR="00656708" w:rsidRPr="004411E7" w:rsidRDefault="00656708" w:rsidP="00656708">
      <w:pPr>
        <w:pStyle w:val="Prrafodelista"/>
        <w:rPr>
          <w:rFonts w:ascii="Tahoma" w:hAnsi="Tahoma" w:cs="Tahoma"/>
          <w:sz w:val="22"/>
          <w:szCs w:val="22"/>
        </w:rPr>
      </w:pPr>
    </w:p>
    <w:p w:rsidR="00656708" w:rsidRPr="004411E7" w:rsidRDefault="00656708" w:rsidP="00656708">
      <w:pPr>
        <w:pStyle w:val="Prrafodelista"/>
        <w:widowControl/>
        <w:numPr>
          <w:ilvl w:val="0"/>
          <w:numId w:val="4"/>
        </w:numPr>
        <w:suppressAutoHyphens w:val="0"/>
        <w:ind w:left="567" w:hanging="567"/>
        <w:contextualSpacing/>
        <w:jc w:val="both"/>
        <w:rPr>
          <w:rFonts w:ascii="Tahoma" w:hAnsi="Tahoma" w:cs="Tahoma"/>
          <w:sz w:val="22"/>
          <w:szCs w:val="22"/>
        </w:rPr>
      </w:pPr>
      <w:r w:rsidRPr="004411E7">
        <w:rPr>
          <w:rFonts w:ascii="Tahoma" w:hAnsi="Tahoma" w:cs="Tahoma"/>
          <w:sz w:val="22"/>
          <w:szCs w:val="22"/>
        </w:rPr>
        <w:t>Asimismo, señaló que el evaluador solo devolvió el Informe Nº 01, el mismo que cumplió con levantar las observaciones a través de la Carta Nº 002-CECC/GRCAJ; no obstante ello, el evaluador no devolvió la Carta Nº 003-CECC/GRCAJ de fecha 23 de noviembre del 2009, la Carta Nº 004-CECC/GRCAJ de fecha 25 de noviembre del 2009 y la Carta Nº 006-CECC/GRACAJ de fecha 07 de diciembre del 2009, donde se entregó el expediente técnico terminado en físico y digital, con las correcciones realizadas por indicaciones del Evaluador, en tal sentido, si ha entregado los informes, cumpliendo con sus obligaciones contractuales, toda vez que de no haber presentado dichos informes de manera completa, el evaluador debió haberlos devuelto, y considerarlos como no presentados, en virtud del numeral 10.10 de las Bases del proceso de selección.</w:t>
      </w:r>
    </w:p>
    <w:p w:rsidR="00656708" w:rsidRPr="004411E7" w:rsidRDefault="00656708" w:rsidP="00656708">
      <w:pPr>
        <w:pStyle w:val="Prrafodelista"/>
        <w:widowControl/>
        <w:suppressAutoHyphens w:val="0"/>
        <w:ind w:left="567"/>
        <w:contextualSpacing/>
        <w:jc w:val="both"/>
        <w:rPr>
          <w:rFonts w:ascii="Tahoma" w:hAnsi="Tahoma" w:cs="Tahoma"/>
          <w:sz w:val="22"/>
          <w:szCs w:val="22"/>
        </w:rPr>
      </w:pPr>
    </w:p>
    <w:p w:rsidR="00656708" w:rsidRPr="004411E7" w:rsidRDefault="00656708" w:rsidP="00656708">
      <w:pPr>
        <w:pStyle w:val="Prrafodelista"/>
        <w:widowControl/>
        <w:suppressAutoHyphens w:val="0"/>
        <w:ind w:left="567"/>
        <w:contextualSpacing/>
        <w:jc w:val="both"/>
        <w:rPr>
          <w:rFonts w:ascii="Tahoma" w:hAnsi="Tahoma" w:cs="Tahoma"/>
          <w:sz w:val="22"/>
          <w:szCs w:val="22"/>
        </w:rPr>
      </w:pPr>
      <w:r w:rsidRPr="004411E7">
        <w:rPr>
          <w:rFonts w:ascii="Tahoma" w:hAnsi="Tahoma" w:cs="Tahoma"/>
          <w:sz w:val="22"/>
          <w:szCs w:val="22"/>
        </w:rPr>
        <w:t xml:space="preserve">Respecto a ello, cabe señalar que no cabe amparar lo señalado por la Contratista, toda vez que a través del Oficio Nº 3334-2011-GR.CAJ/GGR-SG </w:t>
      </w:r>
      <w:r w:rsidRPr="004411E7">
        <w:rPr>
          <w:rFonts w:ascii="Tahoma" w:hAnsi="Tahoma" w:cs="Tahoma"/>
          <w:sz w:val="22"/>
          <w:szCs w:val="22"/>
        </w:rPr>
        <w:lastRenderedPageBreak/>
        <w:t>presentado el 24 de agosto del 2011, la Entidad remitió el Informe Técnico Nº 001-2010-GR-CAJ-GRI./SGE-EVA./JLZL de fecha 25 de marzo del 2010, en el cual sustentó que la Contratista llegó a acumular el monto máximo de la penalidad por mora, por lo siguiente:</w:t>
      </w:r>
    </w:p>
    <w:p w:rsidR="00656708" w:rsidRDefault="00656708" w:rsidP="00656708">
      <w:pPr>
        <w:contextualSpacing/>
        <w:jc w:val="both"/>
        <w:rPr>
          <w:rFonts w:ascii="Tahoma" w:hAnsi="Tahoma" w:cs="Tahoma"/>
          <w:sz w:val="22"/>
          <w:szCs w:val="22"/>
        </w:rPr>
      </w:pPr>
    </w:p>
    <w:p w:rsidR="00656708" w:rsidRDefault="00656708" w:rsidP="00656708">
      <w:pPr>
        <w:pStyle w:val="Prrafodelista"/>
        <w:widowControl/>
        <w:suppressAutoHyphens w:val="0"/>
        <w:ind w:left="567"/>
        <w:contextualSpacing/>
        <w:jc w:val="both"/>
        <w:rPr>
          <w:rFonts w:ascii="Tahoma" w:hAnsi="Tahoma" w:cs="Tahoma"/>
          <w:sz w:val="22"/>
          <w:szCs w:val="22"/>
        </w:rPr>
      </w:pPr>
    </w:p>
    <w:p w:rsidR="00656708" w:rsidRDefault="00656708" w:rsidP="00656708">
      <w:pPr>
        <w:pStyle w:val="Prrafodelista"/>
        <w:widowControl/>
        <w:suppressAutoHyphens w:val="0"/>
        <w:ind w:left="567"/>
        <w:contextualSpacing/>
        <w:jc w:val="both"/>
        <w:rPr>
          <w:rFonts w:ascii="Tahoma" w:hAnsi="Tahoma" w:cs="Tahoma"/>
          <w:sz w:val="22"/>
          <w:szCs w:val="22"/>
        </w:rPr>
      </w:pPr>
      <w:r>
        <w:rPr>
          <w:rFonts w:ascii="Tahoma" w:hAnsi="Tahoma" w:cs="Tahoma"/>
          <w:noProof/>
          <w:sz w:val="22"/>
          <w:szCs w:val="22"/>
          <w:lang w:val="es-ES"/>
        </w:rPr>
        <w:drawing>
          <wp:inline distT="0" distB="0" distL="0" distR="0">
            <wp:extent cx="5400675" cy="3067050"/>
            <wp:effectExtent l="19050" t="0" r="9525"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5400675" cy="3067050"/>
                    </a:xfrm>
                    <a:prstGeom prst="rect">
                      <a:avLst/>
                    </a:prstGeom>
                    <a:noFill/>
                    <a:ln w="9525">
                      <a:noFill/>
                      <a:miter lim="800000"/>
                      <a:headEnd/>
                      <a:tailEnd/>
                    </a:ln>
                  </pic:spPr>
                </pic:pic>
              </a:graphicData>
            </a:graphic>
          </wp:inline>
        </w:drawing>
      </w:r>
    </w:p>
    <w:p w:rsidR="00656708" w:rsidRDefault="00656708" w:rsidP="00656708">
      <w:pPr>
        <w:pStyle w:val="Prrafodelista"/>
        <w:widowControl/>
        <w:suppressAutoHyphens w:val="0"/>
        <w:ind w:left="567"/>
        <w:contextualSpacing/>
        <w:jc w:val="both"/>
        <w:rPr>
          <w:rFonts w:ascii="Tahoma" w:hAnsi="Tahoma" w:cs="Tahoma"/>
          <w:sz w:val="22"/>
          <w:szCs w:val="22"/>
        </w:rPr>
      </w:pPr>
    </w:p>
    <w:p w:rsidR="00656708" w:rsidRPr="004411E7" w:rsidRDefault="00656708" w:rsidP="00656708">
      <w:pPr>
        <w:pStyle w:val="Prrafodelista"/>
        <w:widowControl/>
        <w:suppressAutoHyphens w:val="0"/>
        <w:ind w:left="567"/>
        <w:contextualSpacing/>
        <w:jc w:val="both"/>
        <w:rPr>
          <w:rFonts w:ascii="Tahoma" w:hAnsi="Tahoma" w:cs="Tahoma"/>
          <w:sz w:val="22"/>
          <w:szCs w:val="22"/>
        </w:rPr>
      </w:pPr>
      <w:r w:rsidRPr="004411E7">
        <w:rPr>
          <w:rFonts w:ascii="Tahoma" w:hAnsi="Tahoma" w:cs="Tahoma"/>
          <w:sz w:val="22"/>
          <w:szCs w:val="22"/>
        </w:rPr>
        <w:t>Nótese entonces del cuadro precedente, que la Entidad si evaluó las Cartas remitidas por la Contratista, debiendo advertirse que a la Entrega de la Carta Nº 001-CECC/GRACJ, que había sido observada, mediante la cual se remitió el Informe Nº 01, ya habían transcurrido 15 días de retraso, a la entrega de la Carta Nº 002-CECC/GRCAJ, que había sido aprobada, ya había transcurrido 30 días de retraso y, a la entrega de la Carta Nº 006-CEC/GRACAJ, que también había sido aprobada, ya habían transcurrido 162 días de retraso, acumulándose de ésta manera S/. 2520.00, el mismo que equivale al monto máximo de la penalidad por mora, es decir al diez por ciento (10%) del monto del contrato vigente, el mismo que ascendía a 25,200.00.</w:t>
      </w:r>
    </w:p>
    <w:p w:rsidR="00656708" w:rsidRPr="004411E7" w:rsidRDefault="00656708" w:rsidP="00656708">
      <w:pPr>
        <w:pStyle w:val="Prrafodelista"/>
        <w:widowControl/>
        <w:suppressAutoHyphens w:val="0"/>
        <w:ind w:left="567"/>
        <w:contextualSpacing/>
        <w:jc w:val="both"/>
        <w:rPr>
          <w:rFonts w:ascii="Tahoma" w:hAnsi="Tahoma" w:cs="Tahoma"/>
          <w:sz w:val="22"/>
          <w:szCs w:val="22"/>
        </w:rPr>
      </w:pPr>
    </w:p>
    <w:p w:rsidR="00656708" w:rsidRPr="004411E7" w:rsidRDefault="00656708" w:rsidP="00656708">
      <w:pPr>
        <w:pStyle w:val="Prrafodelista"/>
        <w:widowControl/>
        <w:numPr>
          <w:ilvl w:val="0"/>
          <w:numId w:val="4"/>
        </w:numPr>
        <w:suppressAutoHyphens w:val="0"/>
        <w:ind w:left="567" w:hanging="567"/>
        <w:contextualSpacing/>
        <w:jc w:val="both"/>
        <w:rPr>
          <w:rFonts w:ascii="Tahoma" w:hAnsi="Tahoma" w:cs="Tahoma"/>
          <w:sz w:val="22"/>
          <w:szCs w:val="22"/>
        </w:rPr>
      </w:pPr>
      <w:r w:rsidRPr="004411E7">
        <w:rPr>
          <w:rFonts w:ascii="Tahoma" w:hAnsi="Tahoma" w:cs="Tahoma"/>
          <w:sz w:val="22"/>
          <w:szCs w:val="22"/>
        </w:rPr>
        <w:t xml:space="preserve">Por otra parte, la Contratista señaló que han existido irregularidades en el acto administrativo que resolvió el contrato por la supuesta causal de haber acumulado el máximo de la penalidad por mora en la ejecución de la prestación, toda vez que si se le requirió por el incumplimiento injustificado de obligaciones contractuales, el procedimiento para la resolución del contrato debía haber sido otro; por lo cual, en dicha carta de requerimiento, se debió haber precisado las obligaciones esenciales a cumplirse. Asimismo, señaló que en el supuesto negado que la resolución del contrato se dio por la acumulación del monto máximo de penalidad, resulta razonable y necesario que a efectos de la aplicación de las </w:t>
      </w:r>
      <w:r w:rsidRPr="004411E7">
        <w:rPr>
          <w:rFonts w:ascii="Tahoma" w:hAnsi="Tahoma" w:cs="Tahoma"/>
          <w:sz w:val="22"/>
          <w:szCs w:val="22"/>
        </w:rPr>
        <w:lastRenderedPageBreak/>
        <w:t>penalidades, la Entidad ha debido comunicar dicha acumulación, por el contrario, se presentaba todos los avances de obligaciones contractuales, los cuales en ningún momento se devolvió, considerándose por presentada y aprobada.</w:t>
      </w:r>
    </w:p>
    <w:p w:rsidR="00656708" w:rsidRPr="004411E7" w:rsidRDefault="00656708" w:rsidP="00656708">
      <w:pPr>
        <w:pStyle w:val="Prrafodelista"/>
        <w:widowControl/>
        <w:suppressAutoHyphens w:val="0"/>
        <w:ind w:left="567"/>
        <w:contextualSpacing/>
        <w:jc w:val="both"/>
        <w:rPr>
          <w:rFonts w:ascii="Tahoma" w:hAnsi="Tahoma" w:cs="Tahoma"/>
          <w:sz w:val="22"/>
          <w:szCs w:val="22"/>
        </w:rPr>
      </w:pPr>
    </w:p>
    <w:p w:rsidR="00656708" w:rsidRPr="004411E7" w:rsidRDefault="00656708" w:rsidP="00656708">
      <w:pPr>
        <w:pStyle w:val="Prrafodelista"/>
        <w:widowControl/>
        <w:suppressAutoHyphens w:val="0"/>
        <w:ind w:left="567"/>
        <w:contextualSpacing/>
        <w:jc w:val="both"/>
        <w:rPr>
          <w:rFonts w:ascii="Tahoma" w:hAnsi="Tahoma" w:cs="Tahoma"/>
          <w:sz w:val="22"/>
          <w:szCs w:val="22"/>
        </w:rPr>
      </w:pPr>
      <w:r w:rsidRPr="004411E7">
        <w:rPr>
          <w:rFonts w:ascii="Tahoma" w:hAnsi="Tahoma" w:cs="Tahoma"/>
          <w:sz w:val="22"/>
          <w:szCs w:val="22"/>
        </w:rPr>
        <w:t>Respecto a ello, se debe señalar que la Resolución de Gerencia General Regional Nº 059-2010-GR.CAJ/GGR de fecha 25 de febrero del 2010, expresamente señaló que la resolución total del Contrato de Consultoría de Obra Nº 005-2009-GR.CAJ-GGR, se dio por la acumulación del monto máximo de la penalidad por mora en la ejecución de la prestación a cargo de la Contratista, razón por la cual, en virtud de lo establecido en el artículo 169 del Reglamento, que establece que no será necesario efectuar un requerimiento previo cuando la resolución del contrato se deba a la acumulación del monto máximo de penalidad por mora o por otras penalidades, no era necesario remitir a la Contratista una carta de requerimiento precisando las obligaciones esenciales a cumplirse, ni tampoco era necesario que la Entidad comunique la acumulación de dicha penalidad.</w:t>
      </w:r>
    </w:p>
    <w:p w:rsidR="00656708" w:rsidRPr="004411E7" w:rsidRDefault="00656708" w:rsidP="00656708">
      <w:pPr>
        <w:pStyle w:val="Prrafodelista"/>
        <w:widowControl/>
        <w:suppressAutoHyphens w:val="0"/>
        <w:ind w:left="567"/>
        <w:contextualSpacing/>
        <w:jc w:val="both"/>
        <w:rPr>
          <w:rFonts w:ascii="Tahoma" w:hAnsi="Tahoma" w:cs="Tahoma"/>
          <w:sz w:val="22"/>
          <w:szCs w:val="22"/>
        </w:rPr>
      </w:pPr>
    </w:p>
    <w:p w:rsidR="00656708" w:rsidRPr="004411E7" w:rsidRDefault="00656708" w:rsidP="00656708">
      <w:pPr>
        <w:pStyle w:val="Prrafodelista"/>
        <w:widowControl/>
        <w:numPr>
          <w:ilvl w:val="0"/>
          <w:numId w:val="4"/>
        </w:numPr>
        <w:suppressAutoHyphens w:val="0"/>
        <w:ind w:left="567" w:hanging="567"/>
        <w:contextualSpacing/>
        <w:jc w:val="both"/>
        <w:rPr>
          <w:rFonts w:ascii="Tahoma" w:hAnsi="Tahoma" w:cs="Tahoma"/>
          <w:sz w:val="22"/>
          <w:szCs w:val="22"/>
        </w:rPr>
      </w:pPr>
      <w:r w:rsidRPr="004411E7">
        <w:rPr>
          <w:rFonts w:ascii="Tahoma" w:hAnsi="Tahoma" w:cs="Tahoma"/>
          <w:sz w:val="22"/>
          <w:szCs w:val="22"/>
        </w:rPr>
        <w:t>Asimismo, señaló que el acto administrativo que resolvió el contrato, ha sido suscrito por encargo, dado que se antepuesto en la rúbrica “por”, entonces no se podría saber si la encargatura tenía expresamente la delegación de facultades de resolución de contrato, debiéndose considerar que el acto resolutivo debió haber sido expedido por el Titular de la Entidad, es decir la más alta autoridad, y no por el Gerente General Regional.</w:t>
      </w:r>
    </w:p>
    <w:p w:rsidR="00656708" w:rsidRPr="004411E7" w:rsidRDefault="00656708" w:rsidP="00656708">
      <w:pPr>
        <w:pStyle w:val="Prrafodelista"/>
        <w:widowControl/>
        <w:suppressAutoHyphens w:val="0"/>
        <w:ind w:left="567"/>
        <w:contextualSpacing/>
        <w:jc w:val="both"/>
        <w:rPr>
          <w:rFonts w:ascii="Tahoma" w:hAnsi="Tahoma" w:cs="Tahoma"/>
          <w:sz w:val="22"/>
          <w:szCs w:val="22"/>
        </w:rPr>
      </w:pPr>
    </w:p>
    <w:p w:rsidR="00656708" w:rsidRPr="004411E7" w:rsidRDefault="00656708" w:rsidP="00656708">
      <w:pPr>
        <w:pStyle w:val="Prrafodelista"/>
        <w:widowControl/>
        <w:numPr>
          <w:ilvl w:val="0"/>
          <w:numId w:val="4"/>
        </w:numPr>
        <w:suppressAutoHyphens w:val="0"/>
        <w:ind w:left="567" w:hanging="567"/>
        <w:contextualSpacing/>
        <w:jc w:val="both"/>
        <w:rPr>
          <w:rFonts w:ascii="Tahoma" w:hAnsi="Tahoma" w:cs="Tahoma"/>
          <w:sz w:val="22"/>
          <w:szCs w:val="22"/>
        </w:rPr>
      </w:pPr>
      <w:r w:rsidRPr="004411E7">
        <w:rPr>
          <w:rFonts w:ascii="Tahoma" w:hAnsi="Tahoma" w:cs="Tahoma"/>
          <w:sz w:val="22"/>
          <w:szCs w:val="22"/>
        </w:rPr>
        <w:t xml:space="preserve">Sobre este punto, resulta necesario resaltar lo que señala Concepción Barrero Rodríguez al analizar el tema de la carga de la prueba en el procedimiento administrativo sancionador, al expresar que </w:t>
      </w:r>
      <w:r w:rsidRPr="004411E7">
        <w:rPr>
          <w:rFonts w:ascii="Tahoma" w:hAnsi="Tahoma" w:cs="Tahoma"/>
          <w:i/>
          <w:sz w:val="22"/>
          <w:szCs w:val="22"/>
        </w:rPr>
        <w:t>“el ente que impone la sanción tiene la carga de ofrecer (…) las pruebas de cargo que justifican el acto sancionador;</w:t>
      </w:r>
      <w:r w:rsidRPr="004411E7">
        <w:rPr>
          <w:rFonts w:ascii="Tahoma" w:hAnsi="Tahoma" w:cs="Tahoma"/>
          <w:sz w:val="22"/>
          <w:szCs w:val="22"/>
        </w:rPr>
        <w:t xml:space="preserve"> </w:t>
      </w:r>
      <w:r w:rsidRPr="004411E7">
        <w:rPr>
          <w:rFonts w:ascii="Tahoma" w:hAnsi="Tahoma" w:cs="Tahoma"/>
          <w:b/>
          <w:i/>
          <w:sz w:val="22"/>
          <w:szCs w:val="22"/>
        </w:rPr>
        <w:t xml:space="preserve">pero no le incumbe a la Administración sino al sancionado, acreditar la veracidad de los hechos ofrecidos como descargos </w:t>
      </w:r>
      <w:r w:rsidRPr="004411E7">
        <w:rPr>
          <w:rFonts w:ascii="Tahoma" w:hAnsi="Tahoma" w:cs="Tahoma"/>
          <w:i/>
          <w:sz w:val="22"/>
          <w:szCs w:val="22"/>
        </w:rPr>
        <w:t>(…)</w:t>
      </w:r>
      <w:r w:rsidRPr="004411E7">
        <w:rPr>
          <w:rStyle w:val="Refdenotaalpie"/>
          <w:rFonts w:ascii="Tahoma" w:hAnsi="Tahoma" w:cs="Tahoma"/>
          <w:sz w:val="22"/>
          <w:szCs w:val="22"/>
        </w:rPr>
        <w:footnoteReference w:id="3"/>
      </w:r>
      <w:r w:rsidRPr="004411E7">
        <w:rPr>
          <w:rFonts w:ascii="Tahoma" w:hAnsi="Tahoma" w:cs="Tahoma"/>
          <w:sz w:val="22"/>
          <w:szCs w:val="22"/>
        </w:rPr>
        <w:t>.</w:t>
      </w:r>
    </w:p>
    <w:p w:rsidR="00656708" w:rsidRPr="004411E7" w:rsidRDefault="00656708" w:rsidP="00656708">
      <w:pPr>
        <w:pStyle w:val="Prrafodelista"/>
        <w:rPr>
          <w:rFonts w:ascii="Tahoma" w:hAnsi="Tahoma" w:cs="Tahoma"/>
          <w:sz w:val="22"/>
          <w:szCs w:val="22"/>
        </w:rPr>
      </w:pPr>
    </w:p>
    <w:p w:rsidR="00656708" w:rsidRPr="004411E7" w:rsidRDefault="00656708" w:rsidP="00656708">
      <w:pPr>
        <w:pStyle w:val="Prrafodelista"/>
        <w:widowControl/>
        <w:numPr>
          <w:ilvl w:val="0"/>
          <w:numId w:val="4"/>
        </w:numPr>
        <w:suppressAutoHyphens w:val="0"/>
        <w:ind w:left="567" w:hanging="567"/>
        <w:contextualSpacing/>
        <w:jc w:val="both"/>
        <w:rPr>
          <w:rFonts w:ascii="Tahoma" w:hAnsi="Tahoma" w:cs="Tahoma"/>
          <w:sz w:val="22"/>
          <w:szCs w:val="22"/>
        </w:rPr>
      </w:pPr>
      <w:r w:rsidRPr="004411E7">
        <w:rPr>
          <w:rFonts w:ascii="Tahoma" w:hAnsi="Tahoma" w:cs="Tahoma"/>
          <w:sz w:val="22"/>
          <w:szCs w:val="22"/>
        </w:rPr>
        <w:t>Asimismo, es pertinente destacar que de acuerdo al artículo 9 de la Ley del Procedimiento Administrativo General, Ley Nº 27444, todo acto administrativo, en este caso la Resolución de Gerencia General Regional Nº 059-2010-GR.CAJ/GGR  de fecha 25 de febrero del 2010, se considera válido en tanto su pretendida nulidad no sea declarada por autoridad administrativa o jurisdiccional, según corresponda.</w:t>
      </w:r>
    </w:p>
    <w:p w:rsidR="00656708" w:rsidRPr="004411E7" w:rsidRDefault="00656708" w:rsidP="00656708">
      <w:pPr>
        <w:pStyle w:val="Prrafodelista"/>
        <w:rPr>
          <w:rFonts w:ascii="Tahoma" w:hAnsi="Tahoma" w:cs="Tahoma"/>
          <w:sz w:val="22"/>
          <w:szCs w:val="22"/>
        </w:rPr>
      </w:pPr>
    </w:p>
    <w:p w:rsidR="00656708" w:rsidRPr="004411E7" w:rsidRDefault="00656708" w:rsidP="00656708">
      <w:pPr>
        <w:pStyle w:val="Prrafodelista"/>
        <w:widowControl/>
        <w:numPr>
          <w:ilvl w:val="0"/>
          <w:numId w:val="4"/>
        </w:numPr>
        <w:suppressAutoHyphens w:val="0"/>
        <w:ind w:left="567" w:hanging="567"/>
        <w:contextualSpacing/>
        <w:jc w:val="both"/>
        <w:rPr>
          <w:rFonts w:ascii="Tahoma" w:hAnsi="Tahoma" w:cs="Tahoma"/>
          <w:sz w:val="22"/>
          <w:szCs w:val="22"/>
        </w:rPr>
      </w:pPr>
      <w:r w:rsidRPr="004411E7">
        <w:rPr>
          <w:rFonts w:ascii="Tahoma" w:hAnsi="Tahoma" w:cs="Tahoma"/>
          <w:sz w:val="22"/>
          <w:szCs w:val="22"/>
        </w:rPr>
        <w:t xml:space="preserve">De la misma forma, el literal ll) del artículo 9 de la Ley Nº 27785, Ley Orgánica del Sistema Nacional de Control y de la Contraloría General de la República, consagra el principio de licitud según el cual, “(…) </w:t>
      </w:r>
      <w:r w:rsidRPr="004411E7">
        <w:rPr>
          <w:rFonts w:ascii="Tahoma" w:hAnsi="Tahoma" w:cs="Tahoma"/>
          <w:i/>
          <w:sz w:val="22"/>
          <w:szCs w:val="22"/>
        </w:rPr>
        <w:t xml:space="preserve">salvo prueba en contrario, se reputa que las autoridades, funcionarios y servidores de las autoridades de las </w:t>
      </w:r>
      <w:r w:rsidRPr="004411E7">
        <w:rPr>
          <w:rFonts w:ascii="Tahoma" w:hAnsi="Tahoma" w:cs="Tahoma"/>
          <w:i/>
          <w:sz w:val="22"/>
          <w:szCs w:val="22"/>
        </w:rPr>
        <w:lastRenderedPageBreak/>
        <w:t>entidades han actuado con arreglo a las normas legales y administrativas pertinentes”.</w:t>
      </w:r>
    </w:p>
    <w:p w:rsidR="00656708" w:rsidRPr="004411E7" w:rsidRDefault="00656708" w:rsidP="00656708">
      <w:pPr>
        <w:pStyle w:val="Prrafodelista"/>
        <w:rPr>
          <w:rFonts w:ascii="Tahoma" w:hAnsi="Tahoma" w:cs="Tahoma"/>
          <w:sz w:val="22"/>
          <w:szCs w:val="22"/>
        </w:rPr>
      </w:pPr>
    </w:p>
    <w:p w:rsidR="00656708" w:rsidRPr="004411E7" w:rsidRDefault="00656708" w:rsidP="00656708">
      <w:pPr>
        <w:pStyle w:val="Prrafodelista"/>
        <w:widowControl/>
        <w:numPr>
          <w:ilvl w:val="0"/>
          <w:numId w:val="4"/>
        </w:numPr>
        <w:suppressAutoHyphens w:val="0"/>
        <w:ind w:left="567" w:hanging="567"/>
        <w:contextualSpacing/>
        <w:jc w:val="both"/>
        <w:rPr>
          <w:rFonts w:ascii="Tahoma" w:hAnsi="Tahoma" w:cs="Tahoma"/>
          <w:sz w:val="22"/>
          <w:szCs w:val="22"/>
        </w:rPr>
      </w:pPr>
      <w:r w:rsidRPr="004411E7">
        <w:rPr>
          <w:rFonts w:ascii="Tahoma" w:hAnsi="Tahoma" w:cs="Tahoma"/>
          <w:sz w:val="22"/>
          <w:szCs w:val="22"/>
        </w:rPr>
        <w:t xml:space="preserve">En este sentido, lo señalado por la Contratista carece de sustento, toda vez que debió probar de manera fehaciente que la autoridad que suscribió la Resolución de Gerencia General Regional Nº 059-2010-GR.CAJ/GGR de fecha 25 de febrero del 2010, no tenía expresamente la delegación de facultades de resolución de contrato; no obstante ello, la Contratista no ha presentado medios probatorios que acrediten sus alegaciones, </w:t>
      </w:r>
      <w:r w:rsidRPr="004411E7">
        <w:rPr>
          <w:rFonts w:ascii="Tahoma" w:hAnsi="Tahoma" w:cs="Tahoma"/>
          <w:sz w:val="22"/>
          <w:szCs w:val="22"/>
          <w:lang w:val="es-ES"/>
        </w:rPr>
        <w:t>constituyéndose sólo en afirmaciones sin sustento.</w:t>
      </w:r>
    </w:p>
    <w:p w:rsidR="00656708" w:rsidRPr="004411E7" w:rsidRDefault="00656708" w:rsidP="00656708">
      <w:pPr>
        <w:pStyle w:val="Prrafodelista"/>
        <w:rPr>
          <w:rFonts w:ascii="Tahoma" w:hAnsi="Tahoma" w:cs="Tahoma"/>
          <w:sz w:val="22"/>
          <w:szCs w:val="22"/>
        </w:rPr>
      </w:pPr>
    </w:p>
    <w:p w:rsidR="00656708" w:rsidRPr="004411E7" w:rsidRDefault="00656708" w:rsidP="00656708">
      <w:pPr>
        <w:pStyle w:val="Prrafodelista"/>
        <w:widowControl/>
        <w:numPr>
          <w:ilvl w:val="0"/>
          <w:numId w:val="4"/>
        </w:numPr>
        <w:suppressAutoHyphens w:val="0"/>
        <w:ind w:left="567" w:hanging="567"/>
        <w:contextualSpacing/>
        <w:jc w:val="both"/>
        <w:rPr>
          <w:rFonts w:ascii="Tahoma" w:hAnsi="Tahoma" w:cs="Tahoma"/>
          <w:sz w:val="22"/>
          <w:szCs w:val="22"/>
        </w:rPr>
      </w:pPr>
      <w:r w:rsidRPr="004411E7">
        <w:rPr>
          <w:rFonts w:ascii="Tahoma" w:hAnsi="Tahoma" w:cs="Tahoma"/>
          <w:sz w:val="22"/>
          <w:szCs w:val="22"/>
        </w:rPr>
        <w:t>Finalmente, en relación a lo señalado por la Contratista, respecto a que el expediente ha sido utilizado por encargo del Gobierno Regional de Cajamarca a otro consultor, sin tomar en cuenta los derechos de autor, cabe precisar que la Contratista no ha presentado prueba alguna que acredite sus afirmaciones; siendo además, que tal denuncia debe ser tramitada ante la instancias correspondientes, a fin de salvaguardar sus derechos.</w:t>
      </w:r>
    </w:p>
    <w:p w:rsidR="00656708" w:rsidRPr="004411E7" w:rsidRDefault="00656708" w:rsidP="00656708">
      <w:pPr>
        <w:pStyle w:val="Prrafodelista"/>
        <w:rPr>
          <w:rFonts w:ascii="Tahoma" w:hAnsi="Tahoma" w:cs="Tahoma"/>
          <w:sz w:val="22"/>
          <w:szCs w:val="22"/>
        </w:rPr>
      </w:pPr>
    </w:p>
    <w:p w:rsidR="00656708" w:rsidRPr="004411E7" w:rsidRDefault="00656708" w:rsidP="00656708">
      <w:pPr>
        <w:pStyle w:val="Prrafodelista"/>
        <w:widowControl/>
        <w:numPr>
          <w:ilvl w:val="0"/>
          <w:numId w:val="4"/>
        </w:numPr>
        <w:suppressAutoHyphens w:val="0"/>
        <w:ind w:left="567" w:hanging="567"/>
        <w:contextualSpacing/>
        <w:jc w:val="both"/>
        <w:rPr>
          <w:rFonts w:ascii="Tahoma" w:hAnsi="Tahoma" w:cs="Tahoma"/>
          <w:sz w:val="22"/>
          <w:szCs w:val="22"/>
        </w:rPr>
      </w:pPr>
      <w:r w:rsidRPr="004411E7">
        <w:rPr>
          <w:rFonts w:ascii="Tahoma" w:hAnsi="Tahoma" w:cs="Tahoma"/>
          <w:sz w:val="22"/>
          <w:szCs w:val="22"/>
        </w:rPr>
        <w:t>Por lo expuesto, atendiendo que no obra en el expediente medio probatorio que justifiquen el incumplimiento</w:t>
      </w:r>
      <w:r>
        <w:rPr>
          <w:rFonts w:ascii="Tahoma" w:hAnsi="Tahoma" w:cs="Tahoma"/>
          <w:sz w:val="22"/>
          <w:szCs w:val="22"/>
        </w:rPr>
        <w:t xml:space="preserve"> por parte de la Contratista,</w:t>
      </w:r>
      <w:r w:rsidRPr="004411E7">
        <w:rPr>
          <w:rFonts w:ascii="Tahoma" w:hAnsi="Tahoma" w:cs="Tahoma"/>
          <w:sz w:val="22"/>
          <w:szCs w:val="22"/>
        </w:rPr>
        <w:t xml:space="preserve"> </w:t>
      </w:r>
      <w:r>
        <w:rPr>
          <w:rFonts w:ascii="Tahoma" w:hAnsi="Tahoma" w:cs="Tahoma"/>
          <w:sz w:val="22"/>
          <w:szCs w:val="22"/>
        </w:rPr>
        <w:t>al haber llegado a acumular el monto máximo de penalidad</w:t>
      </w:r>
      <w:r w:rsidRPr="004411E7">
        <w:rPr>
          <w:rFonts w:ascii="Tahoma" w:hAnsi="Tahoma" w:cs="Tahoma"/>
          <w:sz w:val="22"/>
          <w:szCs w:val="22"/>
        </w:rPr>
        <w:t xml:space="preserve">; este Tribunal considera que corresponde imponerle sanción administrativa por haber incurrido en la causal prevista en el </w:t>
      </w:r>
      <w:r w:rsidRPr="004411E7">
        <w:rPr>
          <w:rFonts w:ascii="Tahoma" w:eastAsia="MS Mincho" w:hAnsi="Tahoma" w:cs="Tahoma"/>
          <w:sz w:val="22"/>
          <w:szCs w:val="22"/>
        </w:rPr>
        <w:t>literal b) del numeral 51.1 del artículo 51 de la Ley</w:t>
      </w:r>
      <w:r w:rsidRPr="004411E7">
        <w:rPr>
          <w:rFonts w:ascii="Tahoma" w:hAnsi="Tahoma" w:cs="Tahoma"/>
          <w:sz w:val="22"/>
          <w:szCs w:val="22"/>
        </w:rPr>
        <w:t>.</w:t>
      </w:r>
    </w:p>
    <w:p w:rsidR="00656708" w:rsidRPr="004411E7" w:rsidRDefault="00656708" w:rsidP="00656708">
      <w:pPr>
        <w:pStyle w:val="Prrafodelista"/>
        <w:rPr>
          <w:rFonts w:ascii="Tahoma" w:hAnsi="Tahoma" w:cs="Tahoma"/>
          <w:sz w:val="22"/>
          <w:szCs w:val="22"/>
        </w:rPr>
      </w:pPr>
    </w:p>
    <w:p w:rsidR="00656708" w:rsidRPr="004411E7" w:rsidRDefault="00656708" w:rsidP="00656708">
      <w:pPr>
        <w:pStyle w:val="Prrafodelista"/>
        <w:widowControl/>
        <w:numPr>
          <w:ilvl w:val="0"/>
          <w:numId w:val="4"/>
        </w:numPr>
        <w:suppressAutoHyphens w:val="0"/>
        <w:ind w:left="567" w:hanging="567"/>
        <w:contextualSpacing/>
        <w:jc w:val="both"/>
        <w:rPr>
          <w:rFonts w:ascii="Tahoma" w:hAnsi="Tahoma" w:cs="Tahoma"/>
          <w:sz w:val="22"/>
          <w:szCs w:val="22"/>
        </w:rPr>
      </w:pPr>
      <w:r w:rsidRPr="004411E7">
        <w:rPr>
          <w:rFonts w:ascii="Tahoma" w:hAnsi="Tahoma" w:cs="Tahoma"/>
          <w:sz w:val="22"/>
          <w:szCs w:val="22"/>
        </w:rPr>
        <w:t xml:space="preserve">En tal sentido, en el presente caso la sanción se aplicará de conformidad al artículo 237 </w:t>
      </w:r>
      <w:r w:rsidRPr="004411E7">
        <w:rPr>
          <w:rFonts w:ascii="Tahoma" w:eastAsia="MS Mincho" w:hAnsi="Tahoma" w:cs="Tahoma"/>
          <w:sz w:val="22"/>
          <w:szCs w:val="22"/>
        </w:rPr>
        <w:t xml:space="preserve">del Reglamento, el mismo que </w:t>
      </w:r>
      <w:r w:rsidRPr="004411E7">
        <w:rPr>
          <w:rFonts w:ascii="Tahoma" w:hAnsi="Tahoma" w:cs="Tahoma"/>
          <w:sz w:val="22"/>
          <w:szCs w:val="22"/>
        </w:rPr>
        <w:t xml:space="preserve">establece que los proveedores, participantes, postores o contratistas que incurran en las causales establecidas en los literales a), b), c), d) e), f) h), i), j y k) serán sancionados con inhabilitación temporal para contratar con el Estado por un período no menor a un (1) año ni mayor de tres (3) años. </w:t>
      </w:r>
    </w:p>
    <w:p w:rsidR="00656708" w:rsidRPr="004411E7" w:rsidRDefault="00656708" w:rsidP="00656708">
      <w:pPr>
        <w:jc w:val="both"/>
        <w:rPr>
          <w:rFonts w:ascii="Tahoma" w:hAnsi="Tahoma" w:cs="Tahoma"/>
          <w:sz w:val="22"/>
          <w:szCs w:val="22"/>
        </w:rPr>
      </w:pPr>
    </w:p>
    <w:p w:rsidR="00656708" w:rsidRPr="004411E7" w:rsidRDefault="00656708" w:rsidP="00656708">
      <w:pPr>
        <w:ind w:left="567"/>
        <w:jc w:val="both"/>
        <w:rPr>
          <w:rFonts w:ascii="Tahoma" w:hAnsi="Tahoma" w:cs="Tahoma"/>
          <w:sz w:val="22"/>
          <w:szCs w:val="22"/>
        </w:rPr>
      </w:pPr>
      <w:r w:rsidRPr="004411E7">
        <w:rPr>
          <w:rFonts w:ascii="Tahoma" w:hAnsi="Tahoma" w:cs="Tahoma"/>
          <w:sz w:val="22"/>
          <w:szCs w:val="22"/>
        </w:rPr>
        <w:t>Asimismo, la sanción que se impondrá deberá ser graduada dentro de los límites dispuestos en dicho artículo 237, para lo cual deberá tenerse en cuenta lo dispuesto por el artículo 245</w:t>
      </w:r>
      <w:r w:rsidRPr="004411E7">
        <w:rPr>
          <w:rStyle w:val="Refdenotaalpie"/>
          <w:rFonts w:ascii="Tahoma" w:eastAsia="Batang" w:hAnsi="Tahoma" w:cs="Tahoma"/>
          <w:sz w:val="22"/>
          <w:szCs w:val="22"/>
        </w:rPr>
        <w:footnoteReference w:id="4"/>
      </w:r>
      <w:r w:rsidRPr="004411E7">
        <w:rPr>
          <w:rFonts w:ascii="Tahoma" w:hAnsi="Tahoma" w:cs="Tahoma"/>
          <w:sz w:val="22"/>
          <w:szCs w:val="22"/>
        </w:rPr>
        <w:t xml:space="preserve"> del Reglamento.</w:t>
      </w:r>
    </w:p>
    <w:p w:rsidR="00656708" w:rsidRPr="004411E7" w:rsidRDefault="00656708" w:rsidP="00656708">
      <w:pPr>
        <w:pStyle w:val="Prrafodelista"/>
        <w:jc w:val="both"/>
        <w:rPr>
          <w:rFonts w:ascii="Tahoma" w:hAnsi="Tahoma" w:cs="Tahoma"/>
          <w:sz w:val="22"/>
          <w:szCs w:val="22"/>
          <w:lang w:val="es-ES"/>
        </w:rPr>
      </w:pPr>
    </w:p>
    <w:p w:rsidR="00656708" w:rsidRPr="004411E7" w:rsidRDefault="00656708" w:rsidP="00656708">
      <w:pPr>
        <w:pStyle w:val="Prrafodelista"/>
        <w:widowControl/>
        <w:numPr>
          <w:ilvl w:val="0"/>
          <w:numId w:val="4"/>
        </w:numPr>
        <w:suppressAutoHyphens w:val="0"/>
        <w:ind w:left="567" w:hanging="567"/>
        <w:contextualSpacing/>
        <w:jc w:val="both"/>
        <w:rPr>
          <w:rFonts w:ascii="Tahoma" w:hAnsi="Tahoma" w:cs="Tahoma"/>
          <w:sz w:val="22"/>
          <w:szCs w:val="22"/>
        </w:rPr>
      </w:pPr>
      <w:r w:rsidRPr="004411E7">
        <w:rPr>
          <w:rFonts w:ascii="Tahoma" w:hAnsi="Tahoma" w:cs="Tahoma"/>
          <w:sz w:val="22"/>
          <w:szCs w:val="22"/>
        </w:rPr>
        <w:lastRenderedPageBreak/>
        <w:t>Atendiendo a dichos criterios, en lo que concierne a la naturaleza de la infracción, es importante señalar que la conducta denunciada reviste una considerable gravedad en la medida que desde el momento que la Contratista asumió un compromiso contractual frente a la Entidad, se encontraba llamado a cumplir cabalmente lo ofrecido, máxime si es conocido que ante un eventual incumplimiento se verían seriamente afectados intereses de carácter público así como retrasado el cumplimiento de las metas institucionales de la Entidad.</w:t>
      </w:r>
    </w:p>
    <w:p w:rsidR="00656708" w:rsidRPr="004411E7" w:rsidRDefault="00656708" w:rsidP="00656708">
      <w:pPr>
        <w:pStyle w:val="Prrafodelista"/>
        <w:widowControl/>
        <w:suppressAutoHyphens w:val="0"/>
        <w:ind w:left="567"/>
        <w:contextualSpacing/>
        <w:jc w:val="both"/>
        <w:rPr>
          <w:rFonts w:ascii="Tahoma" w:hAnsi="Tahoma" w:cs="Tahoma"/>
          <w:sz w:val="22"/>
          <w:szCs w:val="22"/>
        </w:rPr>
      </w:pPr>
    </w:p>
    <w:p w:rsidR="00656708" w:rsidRPr="004411E7" w:rsidRDefault="00656708" w:rsidP="00656708">
      <w:pPr>
        <w:pStyle w:val="Prrafodelista"/>
        <w:widowControl/>
        <w:numPr>
          <w:ilvl w:val="0"/>
          <w:numId w:val="4"/>
        </w:numPr>
        <w:suppressAutoHyphens w:val="0"/>
        <w:ind w:left="567" w:hanging="567"/>
        <w:contextualSpacing/>
        <w:jc w:val="both"/>
        <w:rPr>
          <w:rFonts w:ascii="Tahoma" w:hAnsi="Tahoma" w:cs="Tahoma"/>
          <w:sz w:val="22"/>
          <w:szCs w:val="22"/>
        </w:rPr>
      </w:pPr>
      <w:r w:rsidRPr="004411E7">
        <w:rPr>
          <w:rFonts w:ascii="Tahoma" w:hAnsi="Tahoma" w:cs="Tahoma"/>
          <w:sz w:val="22"/>
          <w:szCs w:val="22"/>
        </w:rPr>
        <w:t>Asimismo, respecto de la conducta procesal, conviene precisar que durante la sustanciación del presente procedimiento administrativo sancionador, la Contratista ha presentado sus escritos de descargos dentro del plazo otorgado.</w:t>
      </w:r>
    </w:p>
    <w:p w:rsidR="00656708" w:rsidRPr="004411E7" w:rsidRDefault="00656708" w:rsidP="00656708">
      <w:pPr>
        <w:pStyle w:val="Prrafodelista"/>
        <w:rPr>
          <w:rFonts w:ascii="Tahoma" w:hAnsi="Tahoma" w:cs="Tahoma"/>
          <w:sz w:val="22"/>
          <w:szCs w:val="22"/>
        </w:rPr>
      </w:pPr>
    </w:p>
    <w:p w:rsidR="00656708" w:rsidRPr="004411E7" w:rsidRDefault="00656708" w:rsidP="00656708">
      <w:pPr>
        <w:pStyle w:val="Prrafodelista"/>
        <w:widowControl/>
        <w:numPr>
          <w:ilvl w:val="0"/>
          <w:numId w:val="4"/>
        </w:numPr>
        <w:suppressAutoHyphens w:val="0"/>
        <w:ind w:left="567" w:hanging="567"/>
        <w:contextualSpacing/>
        <w:jc w:val="both"/>
        <w:rPr>
          <w:rFonts w:ascii="Tahoma" w:hAnsi="Tahoma" w:cs="Tahoma"/>
          <w:sz w:val="22"/>
          <w:szCs w:val="22"/>
        </w:rPr>
      </w:pPr>
      <w:r w:rsidRPr="004411E7">
        <w:rPr>
          <w:rFonts w:ascii="Tahoma" w:hAnsi="Tahoma" w:cs="Tahoma"/>
          <w:color w:val="000000" w:themeColor="text1"/>
          <w:sz w:val="22"/>
          <w:szCs w:val="22"/>
        </w:rPr>
        <w:t>Así también, debemos tener presente que la Contratista, ha sido sancionada con anterioridad por este Tribunal, mediante Resolución Nº 1595-2010-TC.S1 de fecha 20 de agosto del 2010, hecho que debe ser considerado como agravante al momento de graduar la presente sanción.</w:t>
      </w:r>
    </w:p>
    <w:p w:rsidR="00656708" w:rsidRPr="004411E7" w:rsidRDefault="00656708" w:rsidP="00656708">
      <w:pPr>
        <w:pStyle w:val="Prrafodelista"/>
        <w:rPr>
          <w:rFonts w:ascii="Tahoma" w:hAnsi="Tahoma" w:cs="Tahoma"/>
          <w:sz w:val="22"/>
          <w:szCs w:val="22"/>
        </w:rPr>
      </w:pPr>
    </w:p>
    <w:p w:rsidR="00656708" w:rsidRPr="004411E7" w:rsidRDefault="00656708" w:rsidP="00656708">
      <w:pPr>
        <w:pStyle w:val="Prrafodelista"/>
        <w:widowControl/>
        <w:numPr>
          <w:ilvl w:val="0"/>
          <w:numId w:val="4"/>
        </w:numPr>
        <w:suppressAutoHyphens w:val="0"/>
        <w:ind w:left="567" w:hanging="567"/>
        <w:contextualSpacing/>
        <w:jc w:val="both"/>
        <w:rPr>
          <w:rFonts w:ascii="Tahoma" w:hAnsi="Tahoma" w:cs="Tahoma"/>
          <w:sz w:val="22"/>
          <w:szCs w:val="22"/>
        </w:rPr>
      </w:pPr>
      <w:r w:rsidRPr="004411E7">
        <w:rPr>
          <w:rFonts w:ascii="Tahoma" w:hAnsi="Tahoma" w:cs="Tahoma"/>
          <w:sz w:val="22"/>
          <w:szCs w:val="22"/>
        </w:rPr>
        <w:t xml:space="preserve">Finalmente, resulta importante traer a colación el </w:t>
      </w:r>
      <w:r w:rsidRPr="004411E7">
        <w:rPr>
          <w:rFonts w:ascii="Tahoma" w:hAnsi="Tahoma" w:cs="Tahoma"/>
          <w:i/>
          <w:sz w:val="22"/>
          <w:szCs w:val="22"/>
        </w:rPr>
        <w:t>Principio de Razonabilidad</w:t>
      </w:r>
      <w:r w:rsidRPr="004411E7">
        <w:rPr>
          <w:rFonts w:ascii="Tahoma" w:hAnsi="Tahoma" w:cs="Tahoma"/>
          <w:sz w:val="22"/>
          <w:szCs w:val="22"/>
        </w:rPr>
        <w:t xml:space="preserve"> consagrado en el numeral 3 del artículo 230 de la Ley del Procedimiento Administrativo General, por medio del cual las decisiones de la autoridad administrativa que impongan sanciones o establezcan restricciones a los administrados deben adoptarse dentro de los límites de la facultad atribuida y manteniendo debida proporción entre los medios a emplear y los fines públicos que deba tutelar, a fin que respondan a lo estrictamente necesario para la satisfacción de su cometido.</w:t>
      </w:r>
    </w:p>
    <w:p w:rsidR="00656708" w:rsidRPr="004411E7" w:rsidRDefault="00656708" w:rsidP="00656708">
      <w:pPr>
        <w:pStyle w:val="Prrafodelista"/>
        <w:rPr>
          <w:rFonts w:ascii="Tahoma" w:hAnsi="Tahoma" w:cs="Tahoma"/>
          <w:sz w:val="22"/>
          <w:szCs w:val="22"/>
        </w:rPr>
      </w:pPr>
    </w:p>
    <w:p w:rsidR="00656708" w:rsidRPr="004411E7" w:rsidRDefault="00656708" w:rsidP="00656708">
      <w:pPr>
        <w:pStyle w:val="Prrafodelista"/>
        <w:widowControl/>
        <w:numPr>
          <w:ilvl w:val="0"/>
          <w:numId w:val="4"/>
        </w:numPr>
        <w:suppressAutoHyphens w:val="0"/>
        <w:ind w:left="567" w:hanging="567"/>
        <w:contextualSpacing/>
        <w:jc w:val="both"/>
        <w:rPr>
          <w:rFonts w:ascii="Tahoma" w:hAnsi="Tahoma" w:cs="Tahoma"/>
          <w:sz w:val="22"/>
          <w:szCs w:val="22"/>
        </w:rPr>
      </w:pPr>
      <w:r w:rsidRPr="004411E7">
        <w:rPr>
          <w:rFonts w:ascii="Tahoma" w:hAnsi="Tahoma" w:cs="Tahoma"/>
          <w:sz w:val="22"/>
          <w:szCs w:val="22"/>
        </w:rPr>
        <w:t xml:space="preserve">Por lo antes expuesto, sin que medien circunstancias adicionales que permitan atenuar la responsabilidad de la Contratista en la comisión de la infracción, corresponde imponerle </w:t>
      </w:r>
      <w:r w:rsidRPr="004411E7">
        <w:rPr>
          <w:rFonts w:ascii="Tahoma" w:eastAsia="MS Mincho" w:hAnsi="Tahoma" w:cs="Tahoma"/>
          <w:sz w:val="22"/>
          <w:szCs w:val="22"/>
        </w:rPr>
        <w:t>la</w:t>
      </w:r>
      <w:r w:rsidRPr="004411E7">
        <w:rPr>
          <w:rFonts w:ascii="Tahoma" w:hAnsi="Tahoma" w:cs="Tahoma"/>
          <w:sz w:val="22"/>
          <w:szCs w:val="22"/>
        </w:rPr>
        <w:t xml:space="preserve"> sanción administrativa de inhabilitación temporal en sus derechos para participar en procesos de selección y contratar con el Estado, por el periodo de catorce (14) meses.</w:t>
      </w:r>
    </w:p>
    <w:p w:rsidR="00656708" w:rsidRPr="00415B46" w:rsidRDefault="00656708" w:rsidP="00656708">
      <w:pPr>
        <w:jc w:val="both"/>
        <w:rPr>
          <w:rFonts w:ascii="Tahoma" w:hAnsi="Tahoma" w:cs="Tahoma"/>
          <w:sz w:val="22"/>
          <w:szCs w:val="22"/>
          <w:lang w:val="es-ES_tradnl"/>
        </w:rPr>
      </w:pPr>
    </w:p>
    <w:p w:rsidR="00656708" w:rsidRDefault="00656708" w:rsidP="00656708">
      <w:pPr>
        <w:tabs>
          <w:tab w:val="left" w:pos="3544"/>
          <w:tab w:val="left" w:pos="7230"/>
        </w:tabs>
        <w:ind w:right="-1" w:firstLine="567"/>
        <w:jc w:val="both"/>
        <w:rPr>
          <w:rFonts w:ascii="Tahoma" w:eastAsiaTheme="minorHAnsi" w:hAnsi="Tahoma" w:cs="Tahoma"/>
          <w:color w:val="000000"/>
          <w:sz w:val="22"/>
          <w:szCs w:val="22"/>
        </w:rPr>
      </w:pPr>
      <w:r w:rsidRPr="00415B46">
        <w:rPr>
          <w:rFonts w:ascii="Tahoma" w:hAnsi="Tahoma" w:cs="Tahoma"/>
          <w:sz w:val="22"/>
          <w:szCs w:val="22"/>
        </w:rPr>
        <w:t xml:space="preserve">Por estos fundamentos, </w:t>
      </w:r>
      <w:r w:rsidRPr="00415B46">
        <w:rPr>
          <w:rFonts w:ascii="Tahoma" w:hAnsi="Tahoma" w:cs="Tahoma"/>
          <w:color w:val="000000"/>
          <w:sz w:val="22"/>
          <w:szCs w:val="22"/>
        </w:rPr>
        <w:t>de conformidad con el inf</w:t>
      </w:r>
      <w:r w:rsidRPr="00415B46">
        <w:rPr>
          <w:rFonts w:ascii="Tahoma" w:eastAsia="Calibri" w:hAnsi="Tahoma" w:cs="Tahoma"/>
          <w:color w:val="000000"/>
          <w:sz w:val="22"/>
          <w:szCs w:val="22"/>
        </w:rPr>
        <w:t xml:space="preserve">orme de la Vocal Ponente Dra. Ada Rosa Basulto Liewald y la intervención de los Señores Vocales </w:t>
      </w:r>
      <w:r w:rsidRPr="00415B46">
        <w:rPr>
          <w:rFonts w:ascii="Tahoma" w:eastAsiaTheme="minorHAnsi" w:hAnsi="Tahoma" w:cs="Tahoma"/>
          <w:color w:val="000000"/>
          <w:sz w:val="22"/>
          <w:szCs w:val="22"/>
        </w:rPr>
        <w:t xml:space="preserve">Dr. Carlos Vicente Navas Rondón y </w:t>
      </w:r>
      <w:r w:rsidRPr="00415B46">
        <w:rPr>
          <w:rFonts w:ascii="Tahoma" w:eastAsia="Calibri" w:hAnsi="Tahoma" w:cs="Tahoma"/>
          <w:color w:val="000000"/>
          <w:sz w:val="22"/>
          <w:szCs w:val="22"/>
        </w:rPr>
        <w:t xml:space="preserve">Dra. Janette Elke Ramírez Maynetto; </w:t>
      </w:r>
      <w:r w:rsidRPr="00415B46">
        <w:rPr>
          <w:rFonts w:ascii="Tahoma" w:eastAsiaTheme="minorHAnsi" w:hAnsi="Tahoma" w:cs="Tahoma"/>
          <w:color w:val="000000"/>
          <w:sz w:val="22"/>
          <w:szCs w:val="22"/>
        </w:rPr>
        <w:t>atendiendo a la reconformación de la Primera Sala del Tribunal de Contrataciones del Estado, según lo dispuesto en la Resolución № 103-2011-OSCE/PRE, expedida el 15 de febrero de 2011; y, en ejercicio de las facultades conferidas en los artículos 51 y 63 de la Ley de Contrataciones del Estado, aprobada por Decreto Legislativo № 1017, y los artículos 17 y 18 del Reglamento de Organización y Funciones del OSCE, aprobado por Decreto Supremo № 006-2009-EF, analizados los antecedentes y luego de agotado el debate correspondiente, por unanimidad</w:t>
      </w:r>
    </w:p>
    <w:p w:rsidR="00656708" w:rsidRDefault="00656708" w:rsidP="00656708">
      <w:pPr>
        <w:tabs>
          <w:tab w:val="left" w:pos="3544"/>
          <w:tab w:val="left" w:pos="7230"/>
        </w:tabs>
        <w:ind w:right="-1" w:firstLine="567"/>
        <w:jc w:val="both"/>
        <w:rPr>
          <w:rFonts w:ascii="Tahoma" w:eastAsiaTheme="minorHAnsi" w:hAnsi="Tahoma" w:cs="Tahoma"/>
          <w:color w:val="000000"/>
          <w:sz w:val="22"/>
          <w:szCs w:val="22"/>
        </w:rPr>
      </w:pPr>
    </w:p>
    <w:p w:rsidR="00656708" w:rsidRDefault="00656708" w:rsidP="00656708">
      <w:pPr>
        <w:tabs>
          <w:tab w:val="left" w:pos="3544"/>
          <w:tab w:val="left" w:pos="7230"/>
        </w:tabs>
        <w:ind w:right="-1" w:firstLine="567"/>
        <w:jc w:val="both"/>
        <w:rPr>
          <w:rFonts w:ascii="Tahoma" w:eastAsiaTheme="minorHAnsi" w:hAnsi="Tahoma" w:cs="Tahoma"/>
          <w:color w:val="000000"/>
          <w:sz w:val="22"/>
          <w:szCs w:val="22"/>
        </w:rPr>
      </w:pPr>
    </w:p>
    <w:p w:rsidR="00656708" w:rsidRPr="00415B46" w:rsidRDefault="00656708" w:rsidP="00656708">
      <w:pPr>
        <w:tabs>
          <w:tab w:val="left" w:pos="3544"/>
          <w:tab w:val="left" w:pos="7230"/>
        </w:tabs>
        <w:ind w:right="-1" w:firstLine="567"/>
        <w:jc w:val="both"/>
        <w:rPr>
          <w:rFonts w:ascii="Tahoma" w:eastAsiaTheme="minorHAnsi" w:hAnsi="Tahoma" w:cs="Tahoma"/>
          <w:color w:val="000000"/>
          <w:sz w:val="22"/>
          <w:szCs w:val="22"/>
        </w:rPr>
      </w:pPr>
    </w:p>
    <w:p w:rsidR="00656708" w:rsidRPr="00415B46" w:rsidRDefault="00656708" w:rsidP="00656708">
      <w:pPr>
        <w:ind w:firstLine="567"/>
        <w:jc w:val="both"/>
        <w:rPr>
          <w:rFonts w:ascii="Tahoma" w:hAnsi="Tahoma" w:cs="Tahoma"/>
          <w:b/>
          <w:sz w:val="22"/>
          <w:szCs w:val="22"/>
        </w:rPr>
      </w:pPr>
      <w:r w:rsidRPr="00415B46">
        <w:rPr>
          <w:rFonts w:ascii="Tahoma" w:hAnsi="Tahoma" w:cs="Tahoma"/>
          <w:b/>
          <w:sz w:val="22"/>
          <w:szCs w:val="22"/>
        </w:rPr>
        <w:lastRenderedPageBreak/>
        <w:t xml:space="preserve">LA SALA RESUELVE: </w:t>
      </w:r>
    </w:p>
    <w:p w:rsidR="00656708" w:rsidRPr="00415B46" w:rsidRDefault="00656708" w:rsidP="00656708">
      <w:pPr>
        <w:jc w:val="both"/>
        <w:rPr>
          <w:rFonts w:ascii="Tahoma" w:hAnsi="Tahoma" w:cs="Tahoma"/>
          <w:snapToGrid w:val="0"/>
          <w:sz w:val="22"/>
          <w:szCs w:val="22"/>
        </w:rPr>
      </w:pPr>
    </w:p>
    <w:p w:rsidR="00656708" w:rsidRPr="004411E7" w:rsidRDefault="00656708" w:rsidP="00656708">
      <w:pPr>
        <w:pStyle w:val="Prrafodelista"/>
        <w:widowControl/>
        <w:numPr>
          <w:ilvl w:val="0"/>
          <w:numId w:val="6"/>
        </w:numPr>
        <w:suppressAutoHyphens w:val="0"/>
        <w:ind w:left="567" w:hanging="567"/>
        <w:jc w:val="both"/>
        <w:rPr>
          <w:rFonts w:ascii="Tahoma" w:hAnsi="Tahoma" w:cs="Tahoma"/>
          <w:sz w:val="22"/>
          <w:szCs w:val="22"/>
        </w:rPr>
      </w:pPr>
      <w:r w:rsidRPr="004411E7">
        <w:rPr>
          <w:rFonts w:ascii="Tahoma" w:hAnsi="Tahoma" w:cs="Tahoma"/>
          <w:sz w:val="22"/>
          <w:szCs w:val="22"/>
        </w:rPr>
        <w:t>SANCIONAR a CABRERA CAMPOS CARLOS ENRIQUE con catorce (14) meses de inhabilitación temporal para participar en procesos de selección y contratar con el Estado por la comisión de la infracción tipificada</w:t>
      </w:r>
      <w:r w:rsidRPr="004411E7">
        <w:rPr>
          <w:rFonts w:ascii="Tahoma" w:eastAsia="MS Mincho" w:hAnsi="Tahoma" w:cs="Tahoma"/>
          <w:sz w:val="22"/>
          <w:szCs w:val="22"/>
        </w:rPr>
        <w:t xml:space="preserve"> en el literal b) del numeral 51.1 del artículo 51 de la Ley de Contrataciones del Estado, </w:t>
      </w:r>
      <w:r w:rsidRPr="004411E7">
        <w:rPr>
          <w:rFonts w:ascii="Tahoma" w:hAnsi="Tahoma" w:cs="Tahoma"/>
          <w:sz w:val="22"/>
          <w:szCs w:val="22"/>
        </w:rPr>
        <w:t>sanción que entrará en vigencia a partir del sexto día hábil siguiente de notificada la presente resolución.</w:t>
      </w:r>
    </w:p>
    <w:p w:rsidR="00656708" w:rsidRPr="004411E7" w:rsidRDefault="00656708" w:rsidP="00656708">
      <w:pPr>
        <w:ind w:left="567"/>
        <w:jc w:val="both"/>
        <w:rPr>
          <w:rFonts w:ascii="Tahoma" w:hAnsi="Tahoma" w:cs="Tahoma"/>
          <w:sz w:val="22"/>
          <w:szCs w:val="22"/>
        </w:rPr>
      </w:pPr>
    </w:p>
    <w:p w:rsidR="00656708" w:rsidRPr="004411E7" w:rsidRDefault="00656708" w:rsidP="00656708">
      <w:pPr>
        <w:pStyle w:val="Prrafodelista"/>
        <w:widowControl/>
        <w:numPr>
          <w:ilvl w:val="0"/>
          <w:numId w:val="6"/>
        </w:numPr>
        <w:suppressAutoHyphens w:val="0"/>
        <w:ind w:left="567" w:hanging="567"/>
        <w:jc w:val="both"/>
        <w:rPr>
          <w:rFonts w:ascii="Tahoma" w:hAnsi="Tahoma" w:cs="Tahoma"/>
          <w:sz w:val="22"/>
          <w:szCs w:val="22"/>
        </w:rPr>
      </w:pPr>
      <w:r w:rsidRPr="004411E7">
        <w:rPr>
          <w:rFonts w:ascii="Tahoma" w:hAnsi="Tahoma" w:cs="Tahoma"/>
          <w:sz w:val="22"/>
          <w:szCs w:val="22"/>
        </w:rPr>
        <w:t>Poner la presente Resolución en conocimiento de la Subdirección del Registro Nacional de Proveedores del Organismo Supervisor de las Contrataciones del Estado (OSCE) para las anotaciones de ley correspondientes.</w:t>
      </w:r>
    </w:p>
    <w:p w:rsidR="00656708" w:rsidRPr="00415B46" w:rsidRDefault="00656708" w:rsidP="00656708">
      <w:pPr>
        <w:tabs>
          <w:tab w:val="left" w:pos="180"/>
          <w:tab w:val="left" w:pos="540"/>
        </w:tabs>
        <w:ind w:left="540"/>
        <w:jc w:val="both"/>
        <w:rPr>
          <w:rFonts w:ascii="Tahoma" w:hAnsi="Tahoma" w:cs="Tahoma"/>
          <w:sz w:val="22"/>
          <w:szCs w:val="22"/>
          <w:lang w:val="es-ES_tradnl"/>
        </w:rPr>
      </w:pPr>
    </w:p>
    <w:p w:rsidR="00656708" w:rsidRPr="00415B46" w:rsidRDefault="00656708" w:rsidP="00656708">
      <w:pPr>
        <w:jc w:val="both"/>
        <w:rPr>
          <w:rFonts w:ascii="Tahoma" w:hAnsi="Tahoma" w:cs="Tahoma"/>
          <w:sz w:val="22"/>
          <w:szCs w:val="22"/>
        </w:rPr>
      </w:pPr>
    </w:p>
    <w:p w:rsidR="00656708" w:rsidRPr="00415B46" w:rsidRDefault="00656708" w:rsidP="00656708">
      <w:pPr>
        <w:pStyle w:val="Textoindependiente21"/>
        <w:ind w:firstLine="567"/>
        <w:rPr>
          <w:rFonts w:cs="Tahoma"/>
          <w:szCs w:val="22"/>
        </w:rPr>
      </w:pPr>
      <w:r w:rsidRPr="00415B46">
        <w:rPr>
          <w:rFonts w:cs="Tahoma"/>
          <w:szCs w:val="22"/>
        </w:rPr>
        <w:t>Regístrese, comuníquese y publíquese.</w:t>
      </w:r>
    </w:p>
    <w:p w:rsidR="00656708" w:rsidRPr="00415B46" w:rsidRDefault="00656708" w:rsidP="00656708">
      <w:pPr>
        <w:jc w:val="center"/>
        <w:rPr>
          <w:rFonts w:ascii="Tahoma" w:hAnsi="Tahoma" w:cs="Tahoma"/>
          <w:b/>
          <w:sz w:val="22"/>
          <w:szCs w:val="22"/>
        </w:rPr>
      </w:pPr>
    </w:p>
    <w:p w:rsidR="00656708" w:rsidRPr="00415B46" w:rsidRDefault="00656708" w:rsidP="00656708">
      <w:pPr>
        <w:jc w:val="center"/>
        <w:rPr>
          <w:rFonts w:ascii="Tahoma" w:hAnsi="Tahoma" w:cs="Tahoma"/>
          <w:b/>
          <w:sz w:val="22"/>
          <w:szCs w:val="22"/>
        </w:rPr>
      </w:pPr>
    </w:p>
    <w:p w:rsidR="00656708" w:rsidRPr="00415B46" w:rsidRDefault="00656708" w:rsidP="00656708">
      <w:pPr>
        <w:jc w:val="center"/>
        <w:rPr>
          <w:rFonts w:ascii="Tahoma" w:hAnsi="Tahoma" w:cs="Tahoma"/>
          <w:b/>
          <w:sz w:val="22"/>
          <w:szCs w:val="22"/>
        </w:rPr>
      </w:pPr>
    </w:p>
    <w:p w:rsidR="00656708" w:rsidRPr="00415B46" w:rsidRDefault="00656708" w:rsidP="00656708">
      <w:pPr>
        <w:jc w:val="center"/>
        <w:rPr>
          <w:rFonts w:ascii="Tahoma" w:hAnsi="Tahoma" w:cs="Tahoma"/>
          <w:b/>
          <w:sz w:val="22"/>
          <w:szCs w:val="22"/>
        </w:rPr>
      </w:pPr>
    </w:p>
    <w:p w:rsidR="00656708" w:rsidRPr="00415B46" w:rsidRDefault="00656708" w:rsidP="00656708">
      <w:pPr>
        <w:jc w:val="center"/>
        <w:rPr>
          <w:rFonts w:ascii="Tahoma" w:hAnsi="Tahoma" w:cs="Tahoma"/>
          <w:b/>
          <w:sz w:val="22"/>
          <w:szCs w:val="22"/>
        </w:rPr>
      </w:pPr>
    </w:p>
    <w:p w:rsidR="00656708" w:rsidRPr="00415B46" w:rsidRDefault="00656708" w:rsidP="00656708">
      <w:pPr>
        <w:jc w:val="center"/>
        <w:rPr>
          <w:rFonts w:ascii="Tahoma" w:hAnsi="Tahoma" w:cs="Tahoma"/>
          <w:b/>
          <w:sz w:val="22"/>
          <w:szCs w:val="22"/>
        </w:rPr>
      </w:pPr>
    </w:p>
    <w:p w:rsidR="00656708" w:rsidRPr="00415B46" w:rsidRDefault="00656708" w:rsidP="00656708">
      <w:pPr>
        <w:jc w:val="center"/>
        <w:rPr>
          <w:rFonts w:ascii="Tahoma" w:hAnsi="Tahoma" w:cs="Tahoma"/>
          <w:b/>
          <w:sz w:val="22"/>
          <w:szCs w:val="22"/>
        </w:rPr>
      </w:pPr>
    </w:p>
    <w:p w:rsidR="00656708" w:rsidRPr="00415B46" w:rsidRDefault="00656708" w:rsidP="00656708">
      <w:pPr>
        <w:jc w:val="center"/>
        <w:rPr>
          <w:rFonts w:ascii="Tahoma" w:hAnsi="Tahoma" w:cs="Tahoma"/>
          <w:b/>
          <w:sz w:val="22"/>
          <w:szCs w:val="22"/>
        </w:rPr>
      </w:pPr>
    </w:p>
    <w:p w:rsidR="00656708" w:rsidRPr="00415B46" w:rsidRDefault="00656708" w:rsidP="00656708">
      <w:pPr>
        <w:jc w:val="center"/>
        <w:rPr>
          <w:rFonts w:ascii="Tahoma" w:hAnsi="Tahoma" w:cs="Tahoma"/>
          <w:b/>
          <w:sz w:val="22"/>
          <w:szCs w:val="22"/>
        </w:rPr>
      </w:pPr>
    </w:p>
    <w:p w:rsidR="00656708" w:rsidRPr="00415B46" w:rsidRDefault="00656708" w:rsidP="00656708">
      <w:pPr>
        <w:jc w:val="center"/>
        <w:rPr>
          <w:rFonts w:ascii="Tahoma" w:hAnsi="Tahoma" w:cs="Tahoma"/>
          <w:b/>
          <w:shadow/>
          <w:sz w:val="22"/>
          <w:szCs w:val="22"/>
          <w:lang w:val="pt-BR"/>
        </w:rPr>
      </w:pPr>
      <w:r w:rsidRPr="00415B46">
        <w:rPr>
          <w:rFonts w:ascii="Tahoma" w:hAnsi="Tahoma" w:cs="Tahoma"/>
          <w:b/>
          <w:shadow/>
          <w:sz w:val="22"/>
          <w:szCs w:val="22"/>
          <w:lang w:val="pt-BR"/>
        </w:rPr>
        <w:t>PRESIDENTE</w:t>
      </w:r>
    </w:p>
    <w:p w:rsidR="00656708" w:rsidRPr="00415B46" w:rsidRDefault="00656708" w:rsidP="00656708">
      <w:pPr>
        <w:ind w:firstLine="708"/>
        <w:rPr>
          <w:rFonts w:ascii="Tahoma" w:hAnsi="Tahoma" w:cs="Tahoma"/>
          <w:b/>
          <w:shadow/>
          <w:sz w:val="22"/>
          <w:szCs w:val="22"/>
          <w:lang w:val="pt-BR"/>
        </w:rPr>
      </w:pPr>
    </w:p>
    <w:p w:rsidR="00656708" w:rsidRPr="00415B46" w:rsidRDefault="00656708" w:rsidP="00656708">
      <w:pPr>
        <w:ind w:firstLine="708"/>
        <w:rPr>
          <w:rFonts w:ascii="Tahoma" w:hAnsi="Tahoma" w:cs="Tahoma"/>
          <w:b/>
          <w:shadow/>
          <w:sz w:val="22"/>
          <w:szCs w:val="22"/>
          <w:lang w:val="pt-BR"/>
        </w:rPr>
      </w:pPr>
      <w:r w:rsidRPr="00415B46">
        <w:rPr>
          <w:rFonts w:ascii="Tahoma" w:hAnsi="Tahoma" w:cs="Tahoma"/>
          <w:b/>
          <w:shadow/>
          <w:sz w:val="22"/>
          <w:szCs w:val="22"/>
          <w:lang w:val="pt-BR"/>
        </w:rPr>
        <w:t xml:space="preserve">VOCAL           </w:t>
      </w:r>
      <w:r w:rsidRPr="00415B46">
        <w:rPr>
          <w:rFonts w:ascii="Tahoma" w:hAnsi="Tahoma" w:cs="Tahoma"/>
          <w:b/>
          <w:shadow/>
          <w:sz w:val="22"/>
          <w:szCs w:val="22"/>
          <w:lang w:val="pt-BR"/>
        </w:rPr>
        <w:tab/>
      </w:r>
      <w:r w:rsidRPr="00415B46">
        <w:rPr>
          <w:rFonts w:ascii="Tahoma" w:hAnsi="Tahoma" w:cs="Tahoma"/>
          <w:b/>
          <w:shadow/>
          <w:sz w:val="22"/>
          <w:szCs w:val="22"/>
          <w:lang w:val="pt-BR"/>
        </w:rPr>
        <w:tab/>
        <w:t xml:space="preserve">                                                     VOCAL</w:t>
      </w:r>
    </w:p>
    <w:p w:rsidR="00656708" w:rsidRPr="00415B46" w:rsidRDefault="00656708" w:rsidP="00656708">
      <w:pPr>
        <w:rPr>
          <w:rFonts w:ascii="Tahoma" w:hAnsi="Tahoma" w:cs="Tahoma"/>
          <w:sz w:val="22"/>
          <w:szCs w:val="22"/>
          <w:lang w:val="pt-BR"/>
        </w:rPr>
      </w:pPr>
    </w:p>
    <w:p w:rsidR="00656708" w:rsidRPr="00415B46" w:rsidRDefault="00656708" w:rsidP="00656708">
      <w:pPr>
        <w:rPr>
          <w:rFonts w:ascii="Tahoma" w:hAnsi="Tahoma" w:cs="Tahoma"/>
          <w:sz w:val="22"/>
          <w:szCs w:val="22"/>
          <w:lang w:val="pt-BR"/>
        </w:rPr>
      </w:pPr>
    </w:p>
    <w:p w:rsidR="00656708" w:rsidRPr="00415B46" w:rsidRDefault="00656708" w:rsidP="00656708">
      <w:pPr>
        <w:jc w:val="both"/>
        <w:rPr>
          <w:rFonts w:ascii="Tahoma" w:hAnsi="Tahoma" w:cs="Tahoma"/>
          <w:sz w:val="22"/>
          <w:szCs w:val="22"/>
          <w:lang w:val="pt-BR"/>
        </w:rPr>
      </w:pPr>
      <w:r w:rsidRPr="00415B46">
        <w:rPr>
          <w:rFonts w:ascii="Tahoma" w:hAnsi="Tahoma" w:cs="Tahoma"/>
          <w:sz w:val="22"/>
          <w:szCs w:val="22"/>
          <w:lang w:val="pt-BR"/>
        </w:rPr>
        <w:t>ss.</w:t>
      </w:r>
    </w:p>
    <w:p w:rsidR="00656708" w:rsidRPr="00415B46" w:rsidRDefault="00656708" w:rsidP="00656708">
      <w:pPr>
        <w:jc w:val="both"/>
        <w:rPr>
          <w:rFonts w:ascii="Tahoma" w:hAnsi="Tahoma" w:cs="Tahoma"/>
          <w:sz w:val="22"/>
          <w:szCs w:val="22"/>
          <w:lang w:val="pt-BR"/>
        </w:rPr>
      </w:pPr>
      <w:r w:rsidRPr="00415B46">
        <w:rPr>
          <w:rFonts w:ascii="Tahoma" w:hAnsi="Tahoma" w:cs="Tahoma"/>
          <w:sz w:val="22"/>
          <w:szCs w:val="22"/>
          <w:lang w:val="pt-BR"/>
        </w:rPr>
        <w:t>Navas Rondon</w:t>
      </w:r>
    </w:p>
    <w:p w:rsidR="00656708" w:rsidRPr="00415B46" w:rsidRDefault="00656708" w:rsidP="00656708">
      <w:pPr>
        <w:pStyle w:val="Textoindependiente21"/>
        <w:tabs>
          <w:tab w:val="left" w:pos="5250"/>
        </w:tabs>
        <w:rPr>
          <w:rFonts w:cs="Tahoma"/>
          <w:szCs w:val="22"/>
          <w:lang w:val="pt-BR"/>
        </w:rPr>
      </w:pPr>
      <w:r w:rsidRPr="00415B46">
        <w:rPr>
          <w:rFonts w:cs="Tahoma"/>
          <w:szCs w:val="22"/>
          <w:lang w:val="en-US"/>
        </w:rPr>
        <w:t>Ramírez Maynetto.</w:t>
      </w:r>
    </w:p>
    <w:p w:rsidR="00656708" w:rsidRPr="00415B46" w:rsidRDefault="00656708" w:rsidP="00656708">
      <w:pPr>
        <w:pStyle w:val="Textoindependiente21"/>
        <w:tabs>
          <w:tab w:val="left" w:pos="5250"/>
        </w:tabs>
        <w:rPr>
          <w:rFonts w:cs="Tahoma"/>
          <w:szCs w:val="22"/>
        </w:rPr>
      </w:pPr>
      <w:r w:rsidRPr="00415B46">
        <w:rPr>
          <w:rFonts w:cs="Tahoma"/>
          <w:szCs w:val="22"/>
          <w:lang w:val="pt-BR"/>
        </w:rPr>
        <w:t>Basulto Liewald.</w:t>
      </w:r>
    </w:p>
    <w:p w:rsidR="00656708" w:rsidRPr="00415B46" w:rsidRDefault="00656708" w:rsidP="00656708">
      <w:pPr>
        <w:rPr>
          <w:rFonts w:ascii="Tahoma" w:hAnsi="Tahoma" w:cs="Tahoma"/>
          <w:sz w:val="22"/>
          <w:szCs w:val="22"/>
        </w:rPr>
      </w:pPr>
    </w:p>
    <w:p w:rsidR="00656708" w:rsidRPr="00415B46" w:rsidRDefault="00656708" w:rsidP="00656708">
      <w:pPr>
        <w:rPr>
          <w:rFonts w:ascii="Tahoma" w:hAnsi="Tahoma" w:cs="Tahoma"/>
          <w:sz w:val="22"/>
          <w:szCs w:val="22"/>
        </w:rPr>
      </w:pPr>
    </w:p>
    <w:p w:rsidR="00656708" w:rsidRDefault="00656708" w:rsidP="00656708"/>
    <w:p w:rsidR="008B738B" w:rsidRDefault="00986BDD"/>
    <w:sectPr w:rsidR="008B738B" w:rsidSect="007227D3">
      <w:headerReference w:type="default" r:id="rId8"/>
      <w:footerReference w:type="default" r:id="rId9"/>
      <w:pgSz w:w="11906" w:h="16838"/>
      <w:pgMar w:top="3403"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86BDD" w:rsidRDefault="00986BDD" w:rsidP="00656708">
      <w:r>
        <w:separator/>
      </w:r>
    </w:p>
  </w:endnote>
  <w:endnote w:type="continuationSeparator" w:id="1">
    <w:p w:rsidR="00986BDD" w:rsidRDefault="00986BDD" w:rsidP="0065670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Monotype Corsiva">
    <w:panose1 w:val="03010101010201010101"/>
    <w:charset w:val="00"/>
    <w:family w:val="script"/>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649237"/>
      <w:docPartObj>
        <w:docPartGallery w:val="Page Numbers (Bottom of Page)"/>
        <w:docPartUnique/>
      </w:docPartObj>
    </w:sdtPr>
    <w:sdtContent>
      <w:sdt>
        <w:sdtPr>
          <w:id w:val="216747541"/>
          <w:docPartObj>
            <w:docPartGallery w:val="Page Numbers (Top of Page)"/>
            <w:docPartUnique/>
          </w:docPartObj>
        </w:sdtPr>
        <w:sdtContent>
          <w:p w:rsidR="00306EEC" w:rsidRDefault="004E3833">
            <w:pPr>
              <w:pStyle w:val="Piedepgina"/>
              <w:jc w:val="center"/>
            </w:pPr>
            <w:r>
              <w:t xml:space="preserve">Página </w:t>
            </w:r>
            <w:r w:rsidR="00F80D1F">
              <w:rPr>
                <w:b/>
              </w:rPr>
              <w:fldChar w:fldCharType="begin"/>
            </w:r>
            <w:r>
              <w:rPr>
                <w:b/>
              </w:rPr>
              <w:instrText>PAGE</w:instrText>
            </w:r>
            <w:r w:rsidR="00F80D1F">
              <w:rPr>
                <w:b/>
              </w:rPr>
              <w:fldChar w:fldCharType="separate"/>
            </w:r>
            <w:r w:rsidR="00DC6E37">
              <w:rPr>
                <w:b/>
                <w:noProof/>
              </w:rPr>
              <w:t>1</w:t>
            </w:r>
            <w:r w:rsidR="00F80D1F">
              <w:rPr>
                <w:b/>
              </w:rPr>
              <w:fldChar w:fldCharType="end"/>
            </w:r>
            <w:r>
              <w:t xml:space="preserve"> de </w:t>
            </w:r>
            <w:r w:rsidR="00F80D1F">
              <w:rPr>
                <w:b/>
              </w:rPr>
              <w:fldChar w:fldCharType="begin"/>
            </w:r>
            <w:r>
              <w:rPr>
                <w:b/>
              </w:rPr>
              <w:instrText>NUMPAGES</w:instrText>
            </w:r>
            <w:r w:rsidR="00F80D1F">
              <w:rPr>
                <w:b/>
              </w:rPr>
              <w:fldChar w:fldCharType="separate"/>
            </w:r>
            <w:r w:rsidR="00DC6E37">
              <w:rPr>
                <w:b/>
                <w:noProof/>
              </w:rPr>
              <w:t>13</w:t>
            </w:r>
            <w:r w:rsidR="00F80D1F">
              <w:rPr>
                <w:b/>
              </w:rPr>
              <w:fldChar w:fldCharType="end"/>
            </w:r>
          </w:p>
        </w:sdtContent>
      </w:sdt>
    </w:sdtContent>
  </w:sdt>
  <w:p w:rsidR="00306EEC" w:rsidRDefault="00986BDD">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86BDD" w:rsidRDefault="00986BDD" w:rsidP="00656708">
      <w:r>
        <w:separator/>
      </w:r>
    </w:p>
  </w:footnote>
  <w:footnote w:type="continuationSeparator" w:id="1">
    <w:p w:rsidR="00986BDD" w:rsidRDefault="00986BDD" w:rsidP="00656708">
      <w:r>
        <w:continuationSeparator/>
      </w:r>
    </w:p>
  </w:footnote>
  <w:footnote w:id="2">
    <w:p w:rsidR="00656708" w:rsidRDefault="00656708" w:rsidP="00656708">
      <w:pPr>
        <w:pStyle w:val="Textonotapie"/>
        <w:jc w:val="both"/>
        <w:rPr>
          <w:rFonts w:ascii="Tahoma" w:hAnsi="Tahoma" w:cs="Tahoma"/>
          <w:sz w:val="16"/>
          <w:szCs w:val="16"/>
        </w:rPr>
      </w:pPr>
      <w:r w:rsidRPr="00A728D9">
        <w:rPr>
          <w:rStyle w:val="Refdenotaalpie"/>
          <w:rFonts w:ascii="Tahoma" w:hAnsi="Tahoma" w:cs="Tahoma"/>
          <w:sz w:val="16"/>
          <w:szCs w:val="16"/>
        </w:rPr>
        <w:footnoteRef/>
      </w:r>
      <w:r w:rsidRPr="00A728D9">
        <w:rPr>
          <w:rFonts w:ascii="Tahoma" w:hAnsi="Tahoma" w:cs="Tahoma"/>
          <w:sz w:val="16"/>
          <w:szCs w:val="16"/>
        </w:rPr>
        <w:t xml:space="preserve"> La anotada presunción legal se sustenta en el </w:t>
      </w:r>
      <w:r w:rsidRPr="00A728D9">
        <w:rPr>
          <w:rFonts w:ascii="Tahoma" w:hAnsi="Tahoma" w:cs="Tahoma"/>
          <w:sz w:val="16"/>
          <w:szCs w:val="16"/>
          <w:lang w:val="es-PE"/>
        </w:rPr>
        <w:t xml:space="preserve">artículo 1329 del Código Civil, el cual establece que “se presume que la inejecución de la obligación, o su cumplimiento parcial, tardío o defectuoso, obedece a culpa leve del deudor”, artículo aplicable al presente caso de conformidad con el </w:t>
      </w:r>
      <w:r w:rsidRPr="00A728D9">
        <w:rPr>
          <w:rFonts w:ascii="Tahoma" w:hAnsi="Tahoma" w:cs="Tahoma"/>
          <w:sz w:val="16"/>
          <w:szCs w:val="16"/>
        </w:rPr>
        <w:t>artículo IX, del Título Preliminar del mismo cuerpo normativo: “Las disposiciones del Código Civil se aplican supletoriamente a las relaciones y situaciones jurídicas reguladas por otras leyes, siempre que no sean incompatibles con su naturaleza”.</w:t>
      </w:r>
    </w:p>
    <w:p w:rsidR="00656708" w:rsidRPr="00A728D9" w:rsidRDefault="00656708" w:rsidP="00656708">
      <w:pPr>
        <w:pStyle w:val="Textonotapie"/>
        <w:rPr>
          <w:rFonts w:ascii="Tahoma" w:hAnsi="Tahoma" w:cs="Tahoma"/>
          <w:sz w:val="16"/>
          <w:szCs w:val="16"/>
        </w:rPr>
      </w:pPr>
    </w:p>
  </w:footnote>
  <w:footnote w:id="3">
    <w:p w:rsidR="00656708" w:rsidRPr="00FF3343" w:rsidRDefault="00656708" w:rsidP="00656708">
      <w:pPr>
        <w:pStyle w:val="Textonotapie"/>
        <w:ind w:left="210" w:hanging="210"/>
        <w:jc w:val="both"/>
        <w:rPr>
          <w:rFonts w:ascii="Tahoma" w:hAnsi="Tahoma" w:cs="Tahoma"/>
          <w:sz w:val="16"/>
          <w:szCs w:val="16"/>
        </w:rPr>
      </w:pPr>
      <w:r w:rsidRPr="006B1896">
        <w:rPr>
          <w:rStyle w:val="Refdenotaalpie"/>
          <w:rFonts w:ascii="Tahoma" w:hAnsi="Tahoma" w:cs="Tahoma"/>
        </w:rPr>
        <w:footnoteRef/>
      </w:r>
      <w:r w:rsidRPr="006B1896">
        <w:rPr>
          <w:rFonts w:ascii="Tahoma" w:hAnsi="Tahoma" w:cs="Tahoma"/>
        </w:rPr>
        <w:t xml:space="preserve"> </w:t>
      </w:r>
      <w:r w:rsidRPr="00FF3343">
        <w:rPr>
          <w:rFonts w:ascii="Tahoma" w:hAnsi="Tahoma" w:cs="Tahoma"/>
          <w:sz w:val="16"/>
          <w:szCs w:val="16"/>
        </w:rPr>
        <w:t>Barrera Rodríguez, Concepción. La Prueba en el Procedimiento Administrativo. Editorial ARANZADI S.A. 2da. Edición. Navarra 2003.</w:t>
      </w:r>
    </w:p>
    <w:p w:rsidR="00656708" w:rsidRPr="006B1896" w:rsidRDefault="00656708" w:rsidP="00656708">
      <w:pPr>
        <w:pStyle w:val="Textonotapie"/>
        <w:jc w:val="both"/>
        <w:rPr>
          <w:rFonts w:ascii="Tahoma" w:hAnsi="Tahoma" w:cs="Tahoma"/>
        </w:rPr>
      </w:pPr>
    </w:p>
  </w:footnote>
  <w:footnote w:id="4">
    <w:p w:rsidR="00656708" w:rsidRPr="00A728D9" w:rsidRDefault="00656708" w:rsidP="00656708">
      <w:pPr>
        <w:autoSpaceDE w:val="0"/>
        <w:autoSpaceDN w:val="0"/>
        <w:adjustRightInd w:val="0"/>
        <w:jc w:val="both"/>
        <w:rPr>
          <w:rFonts w:ascii="Tahoma" w:hAnsi="Tahoma" w:cs="Tahoma"/>
          <w:b/>
          <w:bCs/>
          <w:sz w:val="16"/>
          <w:szCs w:val="16"/>
        </w:rPr>
      </w:pPr>
      <w:r w:rsidRPr="00A728D9">
        <w:rPr>
          <w:rStyle w:val="Refdenotaalpie"/>
          <w:rFonts w:ascii="Tahoma" w:eastAsia="Batang" w:hAnsi="Tahoma" w:cs="Tahoma"/>
          <w:sz w:val="16"/>
          <w:szCs w:val="16"/>
        </w:rPr>
        <w:footnoteRef/>
      </w:r>
      <w:r w:rsidRPr="00A728D9">
        <w:rPr>
          <w:rFonts w:ascii="Tahoma" w:hAnsi="Tahoma" w:cs="Tahoma"/>
          <w:sz w:val="16"/>
          <w:szCs w:val="16"/>
        </w:rPr>
        <w:t xml:space="preserve"> </w:t>
      </w:r>
      <w:r w:rsidRPr="00A728D9">
        <w:rPr>
          <w:rFonts w:ascii="Tahoma" w:hAnsi="Tahoma" w:cs="Tahoma"/>
          <w:b/>
          <w:bCs/>
          <w:sz w:val="16"/>
          <w:szCs w:val="16"/>
        </w:rPr>
        <w:t>Artículo 245.- Determinación gradual de la Sanción</w:t>
      </w:r>
    </w:p>
    <w:p w:rsidR="00656708" w:rsidRPr="00A728D9" w:rsidRDefault="00656708" w:rsidP="00656708">
      <w:pPr>
        <w:autoSpaceDE w:val="0"/>
        <w:autoSpaceDN w:val="0"/>
        <w:adjustRightInd w:val="0"/>
        <w:jc w:val="both"/>
        <w:rPr>
          <w:rFonts w:ascii="Tahoma" w:hAnsi="Tahoma" w:cs="Tahoma"/>
          <w:sz w:val="16"/>
          <w:szCs w:val="16"/>
        </w:rPr>
      </w:pPr>
      <w:r w:rsidRPr="00A728D9">
        <w:rPr>
          <w:rFonts w:ascii="Tahoma" w:hAnsi="Tahoma" w:cs="Tahoma"/>
          <w:sz w:val="16"/>
          <w:szCs w:val="16"/>
        </w:rPr>
        <w:t>Para graduar la sanción a imponerse conforme a las disposiciones del presente Título, se considerarán los siguientes criterios:</w:t>
      </w:r>
    </w:p>
    <w:p w:rsidR="00656708" w:rsidRPr="00A728D9" w:rsidRDefault="00656708" w:rsidP="00656708">
      <w:pPr>
        <w:autoSpaceDE w:val="0"/>
        <w:autoSpaceDN w:val="0"/>
        <w:adjustRightInd w:val="0"/>
        <w:jc w:val="both"/>
        <w:rPr>
          <w:rFonts w:ascii="Tahoma" w:hAnsi="Tahoma" w:cs="Tahoma"/>
          <w:sz w:val="16"/>
          <w:szCs w:val="16"/>
        </w:rPr>
      </w:pPr>
      <w:r w:rsidRPr="00A728D9">
        <w:rPr>
          <w:rFonts w:ascii="Tahoma" w:hAnsi="Tahoma" w:cs="Tahoma"/>
          <w:sz w:val="16"/>
          <w:szCs w:val="16"/>
        </w:rPr>
        <w:t>1) Naturaleza de la infracción.</w:t>
      </w:r>
    </w:p>
    <w:p w:rsidR="00656708" w:rsidRPr="00A728D9" w:rsidRDefault="00656708" w:rsidP="00656708">
      <w:pPr>
        <w:autoSpaceDE w:val="0"/>
        <w:autoSpaceDN w:val="0"/>
        <w:adjustRightInd w:val="0"/>
        <w:jc w:val="both"/>
        <w:rPr>
          <w:rFonts w:ascii="Tahoma" w:hAnsi="Tahoma" w:cs="Tahoma"/>
          <w:sz w:val="16"/>
          <w:szCs w:val="16"/>
        </w:rPr>
      </w:pPr>
      <w:r w:rsidRPr="00A728D9">
        <w:rPr>
          <w:rFonts w:ascii="Tahoma" w:hAnsi="Tahoma" w:cs="Tahoma"/>
          <w:sz w:val="16"/>
          <w:szCs w:val="16"/>
        </w:rPr>
        <w:t>2) Intencionalidad del infractor.</w:t>
      </w:r>
    </w:p>
    <w:p w:rsidR="00656708" w:rsidRPr="00A728D9" w:rsidRDefault="00656708" w:rsidP="00656708">
      <w:pPr>
        <w:autoSpaceDE w:val="0"/>
        <w:autoSpaceDN w:val="0"/>
        <w:adjustRightInd w:val="0"/>
        <w:jc w:val="both"/>
        <w:rPr>
          <w:rFonts w:ascii="Tahoma" w:hAnsi="Tahoma" w:cs="Tahoma"/>
          <w:sz w:val="16"/>
          <w:szCs w:val="16"/>
        </w:rPr>
      </w:pPr>
      <w:r w:rsidRPr="00A728D9">
        <w:rPr>
          <w:rFonts w:ascii="Tahoma" w:hAnsi="Tahoma" w:cs="Tahoma"/>
          <w:sz w:val="16"/>
          <w:szCs w:val="16"/>
        </w:rPr>
        <w:t>3) Daño causado.</w:t>
      </w:r>
    </w:p>
    <w:p w:rsidR="00656708" w:rsidRPr="00A728D9" w:rsidRDefault="00656708" w:rsidP="00656708">
      <w:pPr>
        <w:autoSpaceDE w:val="0"/>
        <w:autoSpaceDN w:val="0"/>
        <w:adjustRightInd w:val="0"/>
        <w:jc w:val="both"/>
        <w:rPr>
          <w:rFonts w:ascii="Tahoma" w:hAnsi="Tahoma" w:cs="Tahoma"/>
          <w:sz w:val="16"/>
          <w:szCs w:val="16"/>
        </w:rPr>
      </w:pPr>
      <w:r w:rsidRPr="00A728D9">
        <w:rPr>
          <w:rFonts w:ascii="Tahoma" w:hAnsi="Tahoma" w:cs="Tahoma"/>
          <w:sz w:val="16"/>
          <w:szCs w:val="16"/>
        </w:rPr>
        <w:t>4) Reiterancia.</w:t>
      </w:r>
    </w:p>
    <w:p w:rsidR="00656708" w:rsidRPr="00A728D9" w:rsidRDefault="00656708" w:rsidP="00656708">
      <w:pPr>
        <w:autoSpaceDE w:val="0"/>
        <w:autoSpaceDN w:val="0"/>
        <w:adjustRightInd w:val="0"/>
        <w:jc w:val="both"/>
        <w:rPr>
          <w:rFonts w:ascii="Tahoma" w:hAnsi="Tahoma" w:cs="Tahoma"/>
          <w:sz w:val="16"/>
          <w:szCs w:val="16"/>
        </w:rPr>
      </w:pPr>
      <w:r w:rsidRPr="00A728D9">
        <w:rPr>
          <w:rFonts w:ascii="Tahoma" w:hAnsi="Tahoma" w:cs="Tahoma"/>
          <w:sz w:val="16"/>
          <w:szCs w:val="16"/>
        </w:rPr>
        <w:t>5) El reconocimiento de la infracción cometida antes de que sea detectada.</w:t>
      </w:r>
    </w:p>
    <w:p w:rsidR="00656708" w:rsidRPr="00A728D9" w:rsidRDefault="00656708" w:rsidP="00656708">
      <w:pPr>
        <w:autoSpaceDE w:val="0"/>
        <w:autoSpaceDN w:val="0"/>
        <w:adjustRightInd w:val="0"/>
        <w:jc w:val="both"/>
        <w:rPr>
          <w:rFonts w:ascii="Tahoma" w:hAnsi="Tahoma" w:cs="Tahoma"/>
          <w:sz w:val="16"/>
          <w:szCs w:val="16"/>
        </w:rPr>
      </w:pPr>
      <w:r w:rsidRPr="00A728D9">
        <w:rPr>
          <w:rFonts w:ascii="Tahoma" w:hAnsi="Tahoma" w:cs="Tahoma"/>
          <w:sz w:val="16"/>
          <w:szCs w:val="16"/>
        </w:rPr>
        <w:t>6) Circunstancias de tiempo, lugar y modo.</w:t>
      </w:r>
    </w:p>
    <w:p w:rsidR="00656708" w:rsidRPr="00A728D9" w:rsidRDefault="00656708" w:rsidP="00656708">
      <w:pPr>
        <w:autoSpaceDE w:val="0"/>
        <w:autoSpaceDN w:val="0"/>
        <w:adjustRightInd w:val="0"/>
        <w:jc w:val="both"/>
        <w:rPr>
          <w:rFonts w:ascii="Tahoma" w:hAnsi="Tahoma" w:cs="Tahoma"/>
          <w:sz w:val="16"/>
          <w:szCs w:val="16"/>
        </w:rPr>
      </w:pPr>
      <w:r w:rsidRPr="00A728D9">
        <w:rPr>
          <w:rFonts w:ascii="Tahoma" w:hAnsi="Tahoma" w:cs="Tahoma"/>
          <w:sz w:val="16"/>
          <w:szCs w:val="16"/>
        </w:rPr>
        <w:t>7) Condiciones del infractor.</w:t>
      </w:r>
    </w:p>
    <w:p w:rsidR="00656708" w:rsidRPr="00A728D9" w:rsidRDefault="00656708" w:rsidP="00656708">
      <w:pPr>
        <w:autoSpaceDE w:val="0"/>
        <w:autoSpaceDN w:val="0"/>
        <w:adjustRightInd w:val="0"/>
        <w:jc w:val="both"/>
        <w:rPr>
          <w:rFonts w:ascii="Tahoma" w:hAnsi="Tahoma" w:cs="Tahoma"/>
          <w:sz w:val="16"/>
          <w:szCs w:val="16"/>
        </w:rPr>
      </w:pPr>
      <w:r w:rsidRPr="00A728D9">
        <w:rPr>
          <w:rFonts w:ascii="Tahoma" w:hAnsi="Tahoma" w:cs="Tahoma"/>
          <w:sz w:val="16"/>
          <w:szCs w:val="16"/>
        </w:rPr>
        <w:t>8) Conducta procesal del infractor.</w:t>
      </w:r>
    </w:p>
    <w:p w:rsidR="00656708" w:rsidRPr="00B374B2" w:rsidRDefault="00656708" w:rsidP="00656708">
      <w:pPr>
        <w:pStyle w:val="Textonotapie"/>
        <w:rPr>
          <w:sz w:val="18"/>
          <w:szCs w:val="18"/>
        </w:rPr>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6E37" w:rsidRDefault="00DC6E37" w:rsidP="00DC6E37">
    <w:pPr>
      <w:pStyle w:val="Encabezado"/>
      <w:rPr>
        <w:noProof/>
      </w:rPr>
    </w:pPr>
    <w:r>
      <w:rPr>
        <w:noProof/>
      </w:rPr>
      <w:drawing>
        <wp:anchor distT="0" distB="0" distL="114300" distR="114300" simplePos="0" relativeHeight="251658240" behindDoc="0" locked="0" layoutInCell="1" allowOverlap="1">
          <wp:simplePos x="0" y="0"/>
          <wp:positionH relativeFrom="column">
            <wp:posOffset>-334010</wp:posOffset>
          </wp:positionH>
          <wp:positionV relativeFrom="paragraph">
            <wp:posOffset>-69850</wp:posOffset>
          </wp:positionV>
          <wp:extent cx="6516370" cy="605155"/>
          <wp:effectExtent l="19050" t="0" r="0" b="0"/>
          <wp:wrapSquare wrapText="bothSides"/>
          <wp:docPr id="2" name="Imagen 1" descr="menbre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menbrete"/>
                  <pic:cNvPicPr>
                    <a:picLocks noChangeAspect="1" noChangeArrowheads="1"/>
                  </pic:cNvPicPr>
                </pic:nvPicPr>
                <pic:blipFill>
                  <a:blip r:embed="rId1"/>
                  <a:srcRect/>
                  <a:stretch>
                    <a:fillRect/>
                  </a:stretch>
                </pic:blipFill>
                <pic:spPr bwMode="auto">
                  <a:xfrm>
                    <a:off x="0" y="0"/>
                    <a:ext cx="6516370" cy="605155"/>
                  </a:xfrm>
                  <a:prstGeom prst="rect">
                    <a:avLst/>
                  </a:prstGeom>
                  <a:noFill/>
                </pic:spPr>
              </pic:pic>
            </a:graphicData>
          </a:graphic>
        </wp:anchor>
      </w:drawing>
    </w:r>
  </w:p>
  <w:p w:rsidR="00DC6E37" w:rsidRDefault="00DC6E37" w:rsidP="00DC6E37">
    <w:pPr>
      <w:pStyle w:val="Encabezado"/>
      <w:rPr>
        <w:noProof/>
      </w:rPr>
    </w:pPr>
  </w:p>
  <w:p w:rsidR="00DC6E37" w:rsidRDefault="00DC6E37" w:rsidP="00DC6E37">
    <w:pPr>
      <w:pStyle w:val="Encabezado"/>
      <w:jc w:val="center"/>
      <w:rPr>
        <w:rFonts w:ascii="Monotype Corsiva" w:hAnsi="Monotype Corsiva"/>
        <w:b/>
        <w:sz w:val="44"/>
        <w:szCs w:val="44"/>
      </w:rPr>
    </w:pPr>
  </w:p>
  <w:p w:rsidR="00DC6E37" w:rsidRDefault="00DC6E37" w:rsidP="00DC6E37">
    <w:pPr>
      <w:pStyle w:val="Encabezado"/>
      <w:jc w:val="center"/>
      <w:rPr>
        <w:rFonts w:ascii="Calibri" w:hAnsi="Calibri"/>
        <w:sz w:val="22"/>
        <w:szCs w:val="22"/>
      </w:rPr>
    </w:pPr>
    <w:r>
      <w:rPr>
        <w:rFonts w:ascii="Monotype Corsiva" w:hAnsi="Monotype Corsiva"/>
        <w:b/>
        <w:sz w:val="44"/>
        <w:szCs w:val="44"/>
      </w:rPr>
      <w:t xml:space="preserve">Resolución Nº   </w:t>
    </w:r>
    <w:r>
      <w:rPr>
        <w:rFonts w:ascii="Tahoma" w:hAnsi="Tahoma" w:cs="Tahoma"/>
        <w:b/>
        <w:sz w:val="44"/>
        <w:szCs w:val="44"/>
      </w:rPr>
      <w:t>1433-2011-TC-S1</w:t>
    </w:r>
  </w:p>
  <w:p w:rsidR="00DC6E37" w:rsidRDefault="00DC6E37">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6821D3"/>
    <w:multiLevelType w:val="hybridMultilevel"/>
    <w:tmpl w:val="1616A9F8"/>
    <w:lvl w:ilvl="0" w:tplc="1CDC7B14">
      <w:start w:val="1"/>
      <w:numFmt w:val="decimal"/>
      <w:lvlText w:val="%1."/>
      <w:lvlJc w:val="left"/>
      <w:pPr>
        <w:ind w:left="720" w:hanging="360"/>
      </w:pPr>
      <w:rPr>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nsid w:val="03B204BB"/>
    <w:multiLevelType w:val="hybridMultilevel"/>
    <w:tmpl w:val="9DDC7D40"/>
    <w:lvl w:ilvl="0" w:tplc="78364840">
      <w:start w:val="1"/>
      <w:numFmt w:val="decimal"/>
      <w:lvlText w:val="%1."/>
      <w:lvlJc w:val="left"/>
      <w:pPr>
        <w:ind w:left="720" w:hanging="360"/>
      </w:pPr>
      <w:rPr>
        <w:rFonts w:ascii="Tahoma" w:hAnsi="Tahoma" w:cs="Tahoma" w:hint="default"/>
        <w:b/>
        <w:i w:val="0"/>
        <w:sz w:val="22"/>
        <w:szCs w:val="22"/>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nsid w:val="13A84108"/>
    <w:multiLevelType w:val="hybridMultilevel"/>
    <w:tmpl w:val="7C7C475A"/>
    <w:lvl w:ilvl="0" w:tplc="CECC1E66">
      <w:start w:val="1"/>
      <w:numFmt w:val="decimal"/>
      <w:lvlText w:val="%1."/>
      <w:lvlJc w:val="left"/>
      <w:pPr>
        <w:ind w:left="360" w:hanging="360"/>
      </w:pPr>
      <w:rPr>
        <w:b/>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3">
    <w:nsid w:val="18B0500E"/>
    <w:multiLevelType w:val="hybridMultilevel"/>
    <w:tmpl w:val="2072FCD8"/>
    <w:lvl w:ilvl="0" w:tplc="A85C6B4C">
      <w:start w:val="1"/>
      <w:numFmt w:val="decimal"/>
      <w:lvlText w:val="%1."/>
      <w:lvlJc w:val="left"/>
      <w:pPr>
        <w:ind w:left="720" w:hanging="360"/>
      </w:pPr>
      <w:rPr>
        <w:rFonts w:ascii="Tahoma" w:hAnsi="Tahoma" w:cs="Tahoma" w:hint="default"/>
        <w:b/>
        <w:i w:val="0"/>
        <w:sz w:val="22"/>
        <w:szCs w:val="22"/>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nsid w:val="25F1351D"/>
    <w:multiLevelType w:val="hybridMultilevel"/>
    <w:tmpl w:val="C2EED430"/>
    <w:lvl w:ilvl="0" w:tplc="0C0A0017">
      <w:start w:val="1"/>
      <w:numFmt w:val="lowerLetter"/>
      <w:lvlText w:val="%1)"/>
      <w:lvlJc w:val="left"/>
      <w:pPr>
        <w:ind w:left="1287" w:hanging="360"/>
      </w:pPr>
    </w:lvl>
    <w:lvl w:ilvl="1" w:tplc="0C0A0019" w:tentative="1">
      <w:start w:val="1"/>
      <w:numFmt w:val="lowerLetter"/>
      <w:lvlText w:val="%2."/>
      <w:lvlJc w:val="left"/>
      <w:pPr>
        <w:ind w:left="2007" w:hanging="360"/>
      </w:pPr>
    </w:lvl>
    <w:lvl w:ilvl="2" w:tplc="0C0A001B" w:tentative="1">
      <w:start w:val="1"/>
      <w:numFmt w:val="lowerRoman"/>
      <w:lvlText w:val="%3."/>
      <w:lvlJc w:val="right"/>
      <w:pPr>
        <w:ind w:left="2727" w:hanging="180"/>
      </w:pPr>
    </w:lvl>
    <w:lvl w:ilvl="3" w:tplc="0C0A000F" w:tentative="1">
      <w:start w:val="1"/>
      <w:numFmt w:val="decimal"/>
      <w:lvlText w:val="%4."/>
      <w:lvlJc w:val="left"/>
      <w:pPr>
        <w:ind w:left="3447" w:hanging="360"/>
      </w:pPr>
    </w:lvl>
    <w:lvl w:ilvl="4" w:tplc="0C0A0019" w:tentative="1">
      <w:start w:val="1"/>
      <w:numFmt w:val="lowerLetter"/>
      <w:lvlText w:val="%5."/>
      <w:lvlJc w:val="left"/>
      <w:pPr>
        <w:ind w:left="4167" w:hanging="360"/>
      </w:pPr>
    </w:lvl>
    <w:lvl w:ilvl="5" w:tplc="0C0A001B" w:tentative="1">
      <w:start w:val="1"/>
      <w:numFmt w:val="lowerRoman"/>
      <w:lvlText w:val="%6."/>
      <w:lvlJc w:val="right"/>
      <w:pPr>
        <w:ind w:left="4887" w:hanging="180"/>
      </w:pPr>
    </w:lvl>
    <w:lvl w:ilvl="6" w:tplc="0C0A000F" w:tentative="1">
      <w:start w:val="1"/>
      <w:numFmt w:val="decimal"/>
      <w:lvlText w:val="%7."/>
      <w:lvlJc w:val="left"/>
      <w:pPr>
        <w:ind w:left="5607" w:hanging="360"/>
      </w:pPr>
    </w:lvl>
    <w:lvl w:ilvl="7" w:tplc="0C0A0019" w:tentative="1">
      <w:start w:val="1"/>
      <w:numFmt w:val="lowerLetter"/>
      <w:lvlText w:val="%8."/>
      <w:lvlJc w:val="left"/>
      <w:pPr>
        <w:ind w:left="6327" w:hanging="360"/>
      </w:pPr>
    </w:lvl>
    <w:lvl w:ilvl="8" w:tplc="0C0A001B" w:tentative="1">
      <w:start w:val="1"/>
      <w:numFmt w:val="lowerRoman"/>
      <w:lvlText w:val="%9."/>
      <w:lvlJc w:val="right"/>
      <w:pPr>
        <w:ind w:left="7047" w:hanging="180"/>
      </w:pPr>
    </w:lvl>
  </w:abstractNum>
  <w:abstractNum w:abstractNumId="5">
    <w:nsid w:val="3B545873"/>
    <w:multiLevelType w:val="hybridMultilevel"/>
    <w:tmpl w:val="52248BDC"/>
    <w:lvl w:ilvl="0" w:tplc="83920B72">
      <w:numFmt w:val="bullet"/>
      <w:lvlText w:val="-"/>
      <w:lvlJc w:val="left"/>
      <w:pPr>
        <w:ind w:left="927" w:hanging="360"/>
      </w:pPr>
      <w:rPr>
        <w:rFonts w:ascii="Tahoma" w:eastAsia="Times New Roman" w:hAnsi="Tahoma" w:cs="Tahoma" w:hint="default"/>
      </w:rPr>
    </w:lvl>
    <w:lvl w:ilvl="1" w:tplc="0C0A0003" w:tentative="1">
      <w:start w:val="1"/>
      <w:numFmt w:val="bullet"/>
      <w:lvlText w:val="o"/>
      <w:lvlJc w:val="left"/>
      <w:pPr>
        <w:ind w:left="1647" w:hanging="360"/>
      </w:pPr>
      <w:rPr>
        <w:rFonts w:ascii="Courier New" w:hAnsi="Courier New" w:cs="Courier New" w:hint="default"/>
      </w:rPr>
    </w:lvl>
    <w:lvl w:ilvl="2" w:tplc="0C0A0005" w:tentative="1">
      <w:start w:val="1"/>
      <w:numFmt w:val="bullet"/>
      <w:lvlText w:val=""/>
      <w:lvlJc w:val="left"/>
      <w:pPr>
        <w:ind w:left="2367" w:hanging="360"/>
      </w:pPr>
      <w:rPr>
        <w:rFonts w:ascii="Wingdings" w:hAnsi="Wingdings" w:hint="default"/>
      </w:rPr>
    </w:lvl>
    <w:lvl w:ilvl="3" w:tplc="0C0A0001" w:tentative="1">
      <w:start w:val="1"/>
      <w:numFmt w:val="bullet"/>
      <w:lvlText w:val=""/>
      <w:lvlJc w:val="left"/>
      <w:pPr>
        <w:ind w:left="3087" w:hanging="360"/>
      </w:pPr>
      <w:rPr>
        <w:rFonts w:ascii="Symbol" w:hAnsi="Symbol" w:hint="default"/>
      </w:rPr>
    </w:lvl>
    <w:lvl w:ilvl="4" w:tplc="0C0A0003" w:tentative="1">
      <w:start w:val="1"/>
      <w:numFmt w:val="bullet"/>
      <w:lvlText w:val="o"/>
      <w:lvlJc w:val="left"/>
      <w:pPr>
        <w:ind w:left="3807" w:hanging="360"/>
      </w:pPr>
      <w:rPr>
        <w:rFonts w:ascii="Courier New" w:hAnsi="Courier New" w:cs="Courier New" w:hint="default"/>
      </w:rPr>
    </w:lvl>
    <w:lvl w:ilvl="5" w:tplc="0C0A0005" w:tentative="1">
      <w:start w:val="1"/>
      <w:numFmt w:val="bullet"/>
      <w:lvlText w:val=""/>
      <w:lvlJc w:val="left"/>
      <w:pPr>
        <w:ind w:left="4527" w:hanging="360"/>
      </w:pPr>
      <w:rPr>
        <w:rFonts w:ascii="Wingdings" w:hAnsi="Wingdings" w:hint="default"/>
      </w:rPr>
    </w:lvl>
    <w:lvl w:ilvl="6" w:tplc="0C0A0001" w:tentative="1">
      <w:start w:val="1"/>
      <w:numFmt w:val="bullet"/>
      <w:lvlText w:val=""/>
      <w:lvlJc w:val="left"/>
      <w:pPr>
        <w:ind w:left="5247" w:hanging="360"/>
      </w:pPr>
      <w:rPr>
        <w:rFonts w:ascii="Symbol" w:hAnsi="Symbol" w:hint="default"/>
      </w:rPr>
    </w:lvl>
    <w:lvl w:ilvl="7" w:tplc="0C0A0003" w:tentative="1">
      <w:start w:val="1"/>
      <w:numFmt w:val="bullet"/>
      <w:lvlText w:val="o"/>
      <w:lvlJc w:val="left"/>
      <w:pPr>
        <w:ind w:left="5967" w:hanging="360"/>
      </w:pPr>
      <w:rPr>
        <w:rFonts w:ascii="Courier New" w:hAnsi="Courier New" w:cs="Courier New" w:hint="default"/>
      </w:rPr>
    </w:lvl>
    <w:lvl w:ilvl="8" w:tplc="0C0A0005" w:tentative="1">
      <w:start w:val="1"/>
      <w:numFmt w:val="bullet"/>
      <w:lvlText w:val=""/>
      <w:lvlJc w:val="left"/>
      <w:pPr>
        <w:ind w:left="6687" w:hanging="360"/>
      </w:pPr>
      <w:rPr>
        <w:rFonts w:ascii="Wingdings" w:hAnsi="Wingdings" w:hint="default"/>
      </w:rPr>
    </w:lvl>
  </w:abstractNum>
  <w:num w:numId="1">
    <w:abstractNumId w:val="1"/>
  </w:num>
  <w:num w:numId="2">
    <w:abstractNumId w:val="5"/>
  </w:num>
  <w:num w:numId="3">
    <w:abstractNumId w:val="4"/>
  </w:num>
  <w:num w:numId="4">
    <w:abstractNumId w:val="3"/>
  </w:num>
  <w:num w:numId="5">
    <w:abstractNumId w:val="2"/>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4098"/>
  </w:hdrShapeDefaults>
  <w:footnotePr>
    <w:footnote w:id="0"/>
    <w:footnote w:id="1"/>
  </w:footnotePr>
  <w:endnotePr>
    <w:endnote w:id="0"/>
    <w:endnote w:id="1"/>
  </w:endnotePr>
  <w:compat/>
  <w:rsids>
    <w:rsidRoot w:val="00656708"/>
    <w:rsid w:val="004E3833"/>
    <w:rsid w:val="005F0E2E"/>
    <w:rsid w:val="00656708"/>
    <w:rsid w:val="008E6933"/>
    <w:rsid w:val="009042C5"/>
    <w:rsid w:val="00986BDD"/>
    <w:rsid w:val="00DC6E37"/>
    <w:rsid w:val="00F80D1F"/>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6708"/>
    <w:pPr>
      <w:spacing w:after="0" w:line="240" w:lineRule="auto"/>
    </w:pPr>
    <w:rPr>
      <w:rFonts w:ascii="Times New Roman" w:eastAsia="Times New Roman" w:hAnsi="Times New Roman" w:cs="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3">
    <w:name w:val="Body Text 3"/>
    <w:basedOn w:val="Normal"/>
    <w:link w:val="Textoindependiente3Car"/>
    <w:rsid w:val="00656708"/>
    <w:pPr>
      <w:spacing w:after="120"/>
    </w:pPr>
    <w:rPr>
      <w:sz w:val="16"/>
      <w:szCs w:val="16"/>
      <w:lang w:val="es-PE"/>
    </w:rPr>
  </w:style>
  <w:style w:type="character" w:customStyle="1" w:styleId="Textoindependiente3Car">
    <w:name w:val="Texto independiente 3 Car"/>
    <w:basedOn w:val="Fuentedeprrafopredeter"/>
    <w:link w:val="Textoindependiente3"/>
    <w:rsid w:val="00656708"/>
    <w:rPr>
      <w:rFonts w:ascii="Times New Roman" w:eastAsia="Times New Roman" w:hAnsi="Times New Roman" w:cs="Times New Roman"/>
      <w:sz w:val="16"/>
      <w:szCs w:val="16"/>
      <w:lang w:val="es-PE" w:eastAsia="es-ES"/>
    </w:rPr>
  </w:style>
  <w:style w:type="paragraph" w:customStyle="1" w:styleId="Textoindependiente21">
    <w:name w:val="Texto independiente 21"/>
    <w:basedOn w:val="Normal"/>
    <w:rsid w:val="00656708"/>
    <w:pPr>
      <w:jc w:val="both"/>
    </w:pPr>
    <w:rPr>
      <w:rFonts w:ascii="Tahoma" w:hAnsi="Tahoma"/>
      <w:sz w:val="22"/>
      <w:szCs w:val="20"/>
    </w:rPr>
  </w:style>
  <w:style w:type="paragraph" w:styleId="Prrafodelista">
    <w:name w:val="List Paragraph"/>
    <w:basedOn w:val="Normal"/>
    <w:qFormat/>
    <w:rsid w:val="00656708"/>
    <w:pPr>
      <w:widowControl w:val="0"/>
      <w:suppressAutoHyphens/>
      <w:ind w:left="708"/>
    </w:pPr>
    <w:rPr>
      <w:szCs w:val="20"/>
      <w:lang w:val="es-ES_tradnl"/>
    </w:rPr>
  </w:style>
  <w:style w:type="paragraph" w:styleId="Piedepgina">
    <w:name w:val="footer"/>
    <w:basedOn w:val="Normal"/>
    <w:link w:val="PiedepginaCar"/>
    <w:uiPriority w:val="99"/>
    <w:unhideWhenUsed/>
    <w:rsid w:val="00656708"/>
    <w:pPr>
      <w:tabs>
        <w:tab w:val="center" w:pos="4252"/>
        <w:tab w:val="right" w:pos="8504"/>
      </w:tabs>
    </w:pPr>
  </w:style>
  <w:style w:type="character" w:customStyle="1" w:styleId="PiedepginaCar">
    <w:name w:val="Pie de página Car"/>
    <w:basedOn w:val="Fuentedeprrafopredeter"/>
    <w:link w:val="Piedepgina"/>
    <w:uiPriority w:val="99"/>
    <w:rsid w:val="00656708"/>
    <w:rPr>
      <w:rFonts w:ascii="Times New Roman" w:eastAsia="Times New Roman" w:hAnsi="Times New Roman" w:cs="Times New Roman"/>
      <w:sz w:val="24"/>
      <w:szCs w:val="24"/>
      <w:lang w:eastAsia="es-ES"/>
    </w:rPr>
  </w:style>
  <w:style w:type="paragraph" w:styleId="Textonotapie">
    <w:name w:val="footnote text"/>
    <w:aliases w:val="Car,Car Car Car,Car4,Texto nota pie1,Texto independiente1, Car, Car4,Body Text,Car Car1, Car1 Car,Car1 Car, Car2 Car Car Car Car Car, Car2 Car Car, Car2 Car Car Car Car Car Car, Car2 Car1 Car, Car Car Car, Car2 Car, Car2, Car1, Car3,Ca"/>
    <w:basedOn w:val="Normal"/>
    <w:link w:val="TextonotapieCar"/>
    <w:unhideWhenUsed/>
    <w:rsid w:val="00656708"/>
    <w:rPr>
      <w:sz w:val="20"/>
      <w:szCs w:val="20"/>
      <w:lang w:eastAsia="es-PE"/>
    </w:rPr>
  </w:style>
  <w:style w:type="character" w:customStyle="1" w:styleId="TextonotapieCar">
    <w:name w:val="Texto nota pie Car"/>
    <w:aliases w:val="Car Car,Car Car Car Car,Car4 Car,Texto nota pie1 Car,Texto independiente1 Car, Car Car, Car4 Car,Body Text Car,Car Car1 Car, Car1 Car Car,Car1 Car Car, Car2 Car Car Car Car Car Car1, Car2 Car Car Car, Car2 Car Car Car Car Car Car Car"/>
    <w:basedOn w:val="Fuentedeprrafopredeter"/>
    <w:link w:val="Textonotapie"/>
    <w:rsid w:val="00656708"/>
    <w:rPr>
      <w:rFonts w:ascii="Times New Roman" w:eastAsia="Times New Roman" w:hAnsi="Times New Roman" w:cs="Times New Roman"/>
      <w:sz w:val="20"/>
      <w:szCs w:val="20"/>
      <w:lang w:eastAsia="es-PE"/>
    </w:rPr>
  </w:style>
  <w:style w:type="character" w:styleId="Refdenotaalpie">
    <w:name w:val="footnote reference"/>
    <w:basedOn w:val="Fuentedeprrafopredeter"/>
    <w:unhideWhenUsed/>
    <w:rsid w:val="00656708"/>
    <w:rPr>
      <w:vertAlign w:val="superscript"/>
    </w:rPr>
  </w:style>
  <w:style w:type="paragraph" w:styleId="Textodeglobo">
    <w:name w:val="Balloon Text"/>
    <w:basedOn w:val="Normal"/>
    <w:link w:val="TextodegloboCar"/>
    <w:uiPriority w:val="99"/>
    <w:semiHidden/>
    <w:unhideWhenUsed/>
    <w:rsid w:val="00656708"/>
    <w:rPr>
      <w:rFonts w:ascii="Tahoma" w:hAnsi="Tahoma" w:cs="Tahoma"/>
      <w:sz w:val="16"/>
      <w:szCs w:val="16"/>
    </w:rPr>
  </w:style>
  <w:style w:type="character" w:customStyle="1" w:styleId="TextodegloboCar">
    <w:name w:val="Texto de globo Car"/>
    <w:basedOn w:val="Fuentedeprrafopredeter"/>
    <w:link w:val="Textodeglobo"/>
    <w:uiPriority w:val="99"/>
    <w:semiHidden/>
    <w:rsid w:val="00656708"/>
    <w:rPr>
      <w:rFonts w:ascii="Tahoma" w:eastAsia="Times New Roman" w:hAnsi="Tahoma" w:cs="Tahoma"/>
      <w:sz w:val="16"/>
      <w:szCs w:val="16"/>
      <w:lang w:eastAsia="es-ES"/>
    </w:rPr>
  </w:style>
  <w:style w:type="paragraph" w:styleId="Encabezado">
    <w:name w:val="header"/>
    <w:aliases w:val="maria,h"/>
    <w:basedOn w:val="Normal"/>
    <w:link w:val="EncabezadoCar"/>
    <w:uiPriority w:val="99"/>
    <w:semiHidden/>
    <w:unhideWhenUsed/>
    <w:rsid w:val="00DC6E37"/>
    <w:pPr>
      <w:tabs>
        <w:tab w:val="center" w:pos="4252"/>
        <w:tab w:val="right" w:pos="8504"/>
      </w:tabs>
    </w:pPr>
  </w:style>
  <w:style w:type="character" w:customStyle="1" w:styleId="EncabezadoCar">
    <w:name w:val="Encabezado Car"/>
    <w:aliases w:val="maria Car,h Car"/>
    <w:basedOn w:val="Fuentedeprrafopredeter"/>
    <w:link w:val="Encabezado"/>
    <w:uiPriority w:val="99"/>
    <w:semiHidden/>
    <w:rsid w:val="00DC6E37"/>
    <w:rPr>
      <w:rFonts w:ascii="Times New Roman" w:eastAsia="Times New Roman" w:hAnsi="Times New Roman" w:cs="Times New Roman"/>
      <w:sz w:val="24"/>
      <w:szCs w:val="24"/>
      <w:lang w:eastAsia="es-ES"/>
    </w:rPr>
  </w:style>
</w:styles>
</file>

<file path=word/webSettings.xml><?xml version="1.0" encoding="utf-8"?>
<w:webSettings xmlns:r="http://schemas.openxmlformats.org/officeDocument/2006/relationships" xmlns:w="http://schemas.openxmlformats.org/wordprocessingml/2006/main">
  <w:divs>
    <w:div w:id="563029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13</Pages>
  <Words>4599</Words>
  <Characters>25298</Characters>
  <Application>Microsoft Office Word</Application>
  <DocSecurity>0</DocSecurity>
  <Lines>210</Lines>
  <Paragraphs>59</Paragraphs>
  <ScaleCrop>false</ScaleCrop>
  <Company/>
  <LinksUpToDate>false</LinksUpToDate>
  <CharactersWithSpaces>29838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jtorrico</dc:creator>
  <cp:keywords/>
  <dc:description/>
  <cp:lastModifiedBy>bcaceres</cp:lastModifiedBy>
  <cp:revision>2</cp:revision>
  <dcterms:created xsi:type="dcterms:W3CDTF">2011-08-26T16:41:00Z</dcterms:created>
  <dcterms:modified xsi:type="dcterms:W3CDTF">2011-09-09T22:10:00Z</dcterms:modified>
</cp:coreProperties>
</file>